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3864"/>
          <w:sz w:val="36"/>
          <w:szCs w:val="36"/>
        </w:rPr>
        <w:t>APEX DEFENSE CONTRACTORS LLC</w:t>
      </w:r>
    </w:p>
    <w:p>
      <w:pPr>
        <w:pStyle w:val="Normal"/>
        <w:spacing w:before="0" w:after="40"/>
        <w:jc w:val="center"/>
        <w:rPr/>
      </w:pPr>
      <w:r>
        <w:rPr>
          <w:rFonts w:eastAsia="Arial" w:cs="Arial"/>
          <w:b/>
          <w:bCs/>
          <w:color w:val="2E5090"/>
          <w:sz w:val="30"/>
          <w:szCs w:val="30"/>
        </w:rPr>
        <w:t>ACCESS CONTROL POLICY</w:t>
      </w:r>
    </w:p>
    <w:p>
      <w:pPr>
        <w:pStyle w:val="Normal"/>
        <w:pBdr>
          <w:bottom w:val="single" w:sz="6" w:space="1" w:color="1F3864"/>
        </w:pBdr>
        <w:spacing w:before="0" w:after="240"/>
        <w:jc w:val="center"/>
        <w:rPr/>
      </w:pPr>
      <w:r>
        <w:rPr>
          <w:rFonts w:eastAsia="Arial" w:cs="Arial"/>
          <w:color w:val="888888"/>
          <w:sz w:val="22"/>
          <w:szCs w:val="22"/>
        </w:rPr>
        <w:t>APEX-POL-AC-001</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AAAAAA"/>
              <w:left w:val="single" w:sz="2" w:space="0" w:color="AAAAAA"/>
              <w:bottom w:val="single" w:sz="2" w:space="0" w:color="AAAAAA"/>
              <w:right w:val="single" w:sz="2" w:space="0" w:color="AAAAAA"/>
            </w:tcBorders>
            <w:shd w:fill="EBF0FA" w:val="clear"/>
          </w:tcPr>
          <w:p>
            <w:pPr>
              <w:pStyle w:val="Normal"/>
              <w:rPr/>
            </w:pPr>
            <w:r>
              <w:rPr>
                <w:rFonts w:eastAsia="Arial" w:cs="Arial"/>
                <w:b/>
                <w:bCs/>
                <w:color w:val="555555"/>
                <w:sz w:val="18"/>
                <w:szCs w:val="18"/>
              </w:rPr>
              <w:t>Document ID</w:t>
            </w:r>
          </w:p>
          <w:p>
            <w:pPr>
              <w:pStyle w:val="Normal"/>
              <w:rPr/>
            </w:pPr>
            <w:r>
              <w:rPr>
                <w:rFonts w:eastAsia="Arial" w:cs="Arial"/>
                <w:sz w:val="20"/>
                <w:szCs w:val="20"/>
              </w:rPr>
              <w:t>APEX-POL-AC-001</w:t>
            </w:r>
          </w:p>
        </w:tc>
        <w:tc>
          <w:tcPr>
            <w:tcW w:w="2340" w:type="dxa"/>
            <w:tcBorders>
              <w:top w:val="single" w:sz="2" w:space="0" w:color="AAAAAA"/>
              <w:left w:val="single" w:sz="2" w:space="0" w:color="AAAAAA"/>
              <w:bottom w:val="single" w:sz="2" w:space="0" w:color="AAAAAA"/>
              <w:right w:val="single" w:sz="2" w:space="0" w:color="AAAAAA"/>
            </w:tcBorders>
            <w:shd w:fill="EBF0FA" w:val="clear"/>
          </w:tcPr>
          <w:p>
            <w:pPr>
              <w:pStyle w:val="Normal"/>
              <w:rPr/>
            </w:pPr>
            <w:r>
              <w:rPr>
                <w:rFonts w:eastAsia="Arial" w:cs="Arial"/>
                <w:b/>
                <w:bCs/>
                <w:color w:val="555555"/>
                <w:sz w:val="18"/>
                <w:szCs w:val="18"/>
              </w:rPr>
              <w:t>Version</w:t>
            </w:r>
          </w:p>
          <w:p>
            <w:pPr>
              <w:pStyle w:val="Normal"/>
              <w:rPr/>
            </w:pPr>
            <w:r>
              <w:rPr>
                <w:rFonts w:eastAsia="Arial" w:cs="Arial"/>
                <w:sz w:val="20"/>
                <w:szCs w:val="20"/>
              </w:rPr>
              <w:t>1.2</w:t>
            </w:r>
          </w:p>
        </w:tc>
        <w:tc>
          <w:tcPr>
            <w:tcW w:w="2340" w:type="dxa"/>
            <w:tcBorders>
              <w:top w:val="single" w:sz="2" w:space="0" w:color="AAAAAA"/>
              <w:left w:val="single" w:sz="2" w:space="0" w:color="AAAAAA"/>
              <w:bottom w:val="single" w:sz="2" w:space="0" w:color="AAAAAA"/>
              <w:right w:val="single" w:sz="2" w:space="0" w:color="AAAAAA"/>
            </w:tcBorders>
            <w:shd w:fill="EBF0FA" w:val="clear"/>
          </w:tcPr>
          <w:p>
            <w:pPr>
              <w:pStyle w:val="Normal"/>
              <w:rPr/>
            </w:pPr>
            <w:r>
              <w:rPr>
                <w:rFonts w:eastAsia="Arial" w:cs="Arial"/>
                <w:b/>
                <w:bCs/>
                <w:color w:val="555555"/>
                <w:sz w:val="18"/>
                <w:szCs w:val="18"/>
              </w:rPr>
              <w:t>Effective Date</w:t>
            </w:r>
          </w:p>
          <w:p>
            <w:pPr>
              <w:pStyle w:val="Normal"/>
              <w:rPr/>
            </w:pPr>
            <w:r>
              <w:rPr>
                <w:rFonts w:eastAsia="Arial" w:cs="Arial"/>
                <w:sz w:val="20"/>
                <w:szCs w:val="20"/>
              </w:rPr>
              <w:t>January 15, 2026</w:t>
            </w:r>
          </w:p>
        </w:tc>
        <w:tc>
          <w:tcPr>
            <w:tcW w:w="2339" w:type="dxa"/>
            <w:tcBorders>
              <w:top w:val="single" w:sz="2" w:space="0" w:color="AAAAAA"/>
              <w:left w:val="single" w:sz="2" w:space="0" w:color="AAAAAA"/>
              <w:bottom w:val="single" w:sz="2" w:space="0" w:color="AAAAAA"/>
              <w:right w:val="single" w:sz="2" w:space="0" w:color="AAAAAA"/>
            </w:tcBorders>
            <w:shd w:fill="FFF2CC" w:val="clear"/>
          </w:tcPr>
          <w:p>
            <w:pPr>
              <w:pStyle w:val="Normal"/>
              <w:rPr/>
            </w:pPr>
            <w:r>
              <w:rPr>
                <w:rFonts w:eastAsia="Arial" w:cs="Arial"/>
                <w:b/>
                <w:bCs/>
                <w:color w:val="555555"/>
                <w:sz w:val="18"/>
                <w:szCs w:val="18"/>
              </w:rPr>
              <w:t>Classification</w:t>
            </w:r>
          </w:p>
          <w:p>
            <w:pPr>
              <w:pStyle w:val="Normal"/>
              <w:rPr/>
            </w:pPr>
            <w:r>
              <w:rPr>
                <w:rFonts w:eastAsia="Arial" w:cs="Arial"/>
                <w:sz w:val="20"/>
                <w:szCs w:val="20"/>
              </w:rPr>
              <w:t>COMPANY CONFIDENTIAL</w:t>
            </w:r>
          </w:p>
        </w:tc>
      </w:tr>
      <w:tr>
        <w:trPr/>
        <w:tc>
          <w:tcPr>
            <w:tcW w:w="234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555555"/>
                <w:sz w:val="18"/>
                <w:szCs w:val="18"/>
              </w:rPr>
              <w:t>Owner</w:t>
            </w:r>
          </w:p>
          <w:p>
            <w:pPr>
              <w:pStyle w:val="Normal"/>
              <w:rPr/>
            </w:pPr>
            <w:r>
              <w:rPr>
                <w:rFonts w:eastAsia="Arial" w:cs="Arial"/>
                <w:sz w:val="20"/>
                <w:szCs w:val="20"/>
              </w:rPr>
              <w:t>IT Department</w:t>
            </w:r>
          </w:p>
        </w:tc>
        <w:tc>
          <w:tcPr>
            <w:tcW w:w="234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555555"/>
                <w:sz w:val="18"/>
                <w:szCs w:val="18"/>
              </w:rPr>
              <w:t>Approved By</w:t>
            </w:r>
          </w:p>
          <w:p>
            <w:pPr>
              <w:pStyle w:val="Normal"/>
              <w:rPr/>
            </w:pPr>
            <w:r>
              <w:rPr>
                <w:rFonts w:eastAsia="Arial" w:cs="Arial"/>
                <w:sz w:val="20"/>
                <w:szCs w:val="20"/>
              </w:rPr>
              <w:t>CEO (signature on file)</w:t>
            </w:r>
          </w:p>
        </w:tc>
        <w:tc>
          <w:tcPr>
            <w:tcW w:w="234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555555"/>
                <w:sz w:val="18"/>
                <w:szCs w:val="18"/>
              </w:rPr>
              <w:t>Review Cycle</w:t>
            </w:r>
          </w:p>
          <w:p>
            <w:pPr>
              <w:pStyle w:val="Normal"/>
              <w:rPr/>
            </w:pPr>
            <w:r>
              <w:rPr>
                <w:rFonts w:eastAsia="Arial" w:cs="Arial"/>
                <w:sz w:val="20"/>
                <w:szCs w:val="20"/>
              </w:rPr>
              <w:t>Annual</w:t>
            </w:r>
          </w:p>
        </w:tc>
        <w:tc>
          <w:tcPr>
            <w:tcW w:w="233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color w:val="555555"/>
                <w:sz w:val="18"/>
                <w:szCs w:val="18"/>
              </w:rPr>
              <w:t>Next Review</w:t>
            </w:r>
          </w:p>
          <w:p>
            <w:pPr>
              <w:pStyle w:val="Normal"/>
              <w:rPr/>
            </w:pPr>
            <w:r>
              <w:rPr>
                <w:rFonts w:eastAsia="Arial" w:cs="Arial"/>
                <w:sz w:val="20"/>
                <w:szCs w:val="20"/>
              </w:rPr>
              <w:t>January 2027</w:t>
            </w:r>
          </w:p>
        </w:tc>
      </w:tr>
    </w:tbl>
    <w:p>
      <w:pPr>
        <w:pStyle w:val="Normal"/>
        <w:spacing w:before="60" w:after="60"/>
        <w:rPr/>
      </w:pPr>
      <w:r>
        <w:rPr/>
      </w:r>
    </w:p>
    <w:p>
      <w:pPr>
        <w:pStyle w:val="Heading1"/>
        <w:spacing w:before="280" w:after="120"/>
        <w:rPr/>
      </w:pPr>
      <w:r>
        <w:rPr>
          <w:rFonts w:eastAsia="Arial" w:cs="Arial" w:ascii="Arial" w:hAnsi="Arial"/>
          <w:b/>
          <w:bCs/>
          <w:color w:val="1F3864"/>
          <w:sz w:val="26"/>
          <w:szCs w:val="26"/>
        </w:rPr>
        <w:t>1.  Purpose</w:t>
      </w:r>
    </w:p>
    <w:p>
      <w:pPr>
        <w:pStyle w:val="Normal"/>
        <w:spacing w:before="80" w:after="80"/>
        <w:rPr/>
      </w:pPr>
      <w:r>
        <w:rPr>
          <w:rFonts w:eastAsia="Arial" w:cs="Arial"/>
          <w:sz w:val="22"/>
          <w:szCs w:val="22"/>
        </w:rPr>
        <w:t>This policy establishes access control requirements for all Apex Defense Contractors LLC information systems, networks, and data. It is intended to protect the confidentiality, integrity, and availability of company and government information assets while enabling authorized personnel to access resources necessary to perform their duties.</w:t>
      </w:r>
    </w:p>
    <w:p>
      <w:pPr>
        <w:pStyle w:val="Normal"/>
        <w:spacing w:before="60" w:after="60"/>
        <w:rPr/>
      </w:pPr>
      <w:r>
        <w:rPr/>
      </w:r>
    </w:p>
    <w:p>
      <w:pPr>
        <w:pStyle w:val="Heading1"/>
        <w:spacing w:before="280" w:after="120"/>
        <w:rPr/>
      </w:pPr>
      <w:r>
        <w:rPr>
          <w:rFonts w:eastAsia="Arial" w:cs="Arial" w:ascii="Arial" w:hAnsi="Arial"/>
          <w:b/>
          <w:bCs/>
          <w:color w:val="1F3864"/>
          <w:sz w:val="26"/>
          <w:szCs w:val="26"/>
        </w:rPr>
        <w:t>2.  Scope</w:t>
      </w:r>
    </w:p>
    <w:p>
      <w:pPr>
        <w:pStyle w:val="Normal"/>
        <w:spacing w:before="80" w:after="80"/>
        <w:rPr/>
      </w:pPr>
      <w:r>
        <w:rPr>
          <w:rFonts w:eastAsia="Arial" w:cs="Arial"/>
          <w:sz w:val="22"/>
          <w:szCs w:val="22"/>
        </w:rPr>
        <w:t>This policy applies to:</w:t>
      </w:r>
    </w:p>
    <w:p>
      <w:pPr>
        <w:pStyle w:val="ListParagraph"/>
        <w:numPr>
          <w:ilvl w:val="0"/>
          <w:numId w:val="3"/>
        </w:numPr>
        <w:spacing w:before="60" w:after="60"/>
        <w:rPr/>
      </w:pPr>
      <w:r>
        <w:rPr>
          <w:rFonts w:eastAsia="Arial" w:cs="Arial"/>
          <w:sz w:val="22"/>
          <w:szCs w:val="22"/>
        </w:rPr>
        <w:t>All full-time and part-time employees</w:t>
      </w:r>
    </w:p>
    <w:p>
      <w:pPr>
        <w:pStyle w:val="ListParagraph"/>
        <w:numPr>
          <w:ilvl w:val="0"/>
          <w:numId w:val="1"/>
        </w:numPr>
        <w:spacing w:before="60" w:after="60"/>
        <w:rPr/>
      </w:pPr>
      <w:r>
        <w:rPr>
          <w:rFonts w:eastAsia="Arial" w:cs="Arial"/>
          <w:sz w:val="22"/>
          <w:szCs w:val="22"/>
        </w:rPr>
        <w:t>Contractors and subcontractors with system access</w:t>
      </w:r>
    </w:p>
    <w:p>
      <w:pPr>
        <w:pStyle w:val="ListParagraph"/>
        <w:numPr>
          <w:ilvl w:val="0"/>
          <w:numId w:val="1"/>
        </w:numPr>
        <w:spacing w:before="60" w:after="60"/>
        <w:rPr/>
      </w:pPr>
      <w:r>
        <w:rPr>
          <w:rFonts w:eastAsia="Arial" w:cs="Arial"/>
          <w:sz w:val="22"/>
          <w:szCs w:val="22"/>
        </w:rPr>
        <w:t>All information systems owned or operated by Apex Defense Contractors LLC</w:t>
      </w:r>
    </w:p>
    <w:p>
      <w:pPr>
        <w:pStyle w:val="Normal"/>
        <w:spacing w:before="60" w:after="60"/>
        <w:rPr>
          <w:rFonts w:ascii="Arial" w:hAnsi="Arial" w:eastAsia="Arial" w:cs="Arial"/>
          <w:b/>
          <w:b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3.  Roles and Responsibilities</w:t>
      </w:r>
    </w:p>
    <w:p>
      <w:pPr>
        <w:pStyle w:val="Heading2"/>
        <w:spacing w:before="200" w:after="80"/>
        <w:rPr/>
      </w:pPr>
      <w:r>
        <w:rPr>
          <w:rFonts w:eastAsia="Arial" w:cs="Arial" w:ascii="Arial" w:hAnsi="Arial"/>
          <w:b/>
          <w:bCs/>
          <w:color w:val="2E5090"/>
          <w:sz w:val="24"/>
          <w:szCs w:val="24"/>
        </w:rPr>
        <w:t>3.1  IT Department</w:t>
      </w:r>
    </w:p>
    <w:p>
      <w:pPr>
        <w:pStyle w:val="ListParagraph"/>
        <w:numPr>
          <w:ilvl w:val="0"/>
          <w:numId w:val="1"/>
        </w:numPr>
        <w:spacing w:before="60" w:after="60"/>
        <w:rPr/>
      </w:pPr>
      <w:r>
        <w:rPr>
          <w:rFonts w:eastAsia="Arial" w:cs="Arial"/>
          <w:sz w:val="22"/>
          <w:szCs w:val="22"/>
        </w:rPr>
        <w:t>Manages user accounts and system access</w:t>
      </w:r>
    </w:p>
    <w:p>
      <w:pPr>
        <w:pStyle w:val="ListParagraph"/>
        <w:numPr>
          <w:ilvl w:val="0"/>
          <w:numId w:val="1"/>
        </w:numPr>
        <w:spacing w:before="60" w:after="60"/>
        <w:rPr/>
      </w:pPr>
      <w:r>
        <w:rPr>
          <w:rFonts w:eastAsia="Arial" w:cs="Arial"/>
          <w:sz w:val="22"/>
          <w:szCs w:val="22"/>
        </w:rPr>
        <w:t>Implements technical access controls</w:t>
      </w:r>
    </w:p>
    <w:p>
      <w:pPr>
        <w:pStyle w:val="Heading2"/>
        <w:spacing w:before="200" w:after="80"/>
        <w:rPr/>
      </w:pPr>
      <w:r>
        <w:rPr>
          <w:rFonts w:eastAsia="Arial" w:cs="Arial" w:ascii="Arial" w:hAnsi="Arial"/>
          <w:b/>
          <w:bCs/>
          <w:color w:val="2E5090"/>
          <w:sz w:val="24"/>
          <w:szCs w:val="24"/>
        </w:rPr>
        <w:t>3.2  Managers / Supervisors</w:t>
      </w:r>
    </w:p>
    <w:p>
      <w:pPr>
        <w:pStyle w:val="ListParagraph"/>
        <w:numPr>
          <w:ilvl w:val="0"/>
          <w:numId w:val="1"/>
        </w:numPr>
        <w:spacing w:before="60" w:after="60"/>
        <w:rPr/>
      </w:pPr>
      <w:r>
        <w:rPr>
          <w:rFonts w:eastAsia="Arial" w:cs="Arial"/>
          <w:sz w:val="22"/>
          <w:szCs w:val="22"/>
        </w:rPr>
        <w:t>Approve access requests for direct reports via email</w:t>
      </w:r>
    </w:p>
    <w:p>
      <w:pPr>
        <w:pStyle w:val="ListParagraph"/>
        <w:numPr>
          <w:ilvl w:val="0"/>
          <w:numId w:val="1"/>
        </w:numPr>
        <w:spacing w:before="60" w:after="60"/>
        <w:rPr/>
      </w:pPr>
      <w:r>
        <w:rPr>
          <w:rFonts w:eastAsia="Arial" w:cs="Arial"/>
          <w:sz w:val="22"/>
          <w:szCs w:val="22"/>
        </w:rPr>
        <w:t>Notify IT within 5 business days when an employee departs</w:t>
      </w:r>
    </w:p>
    <w:p>
      <w:pPr>
        <w:pStyle w:val="Normal"/>
        <w:spacing w:before="60" w:after="60"/>
        <w:rPr>
          <w:rFonts w:ascii="Arial" w:hAnsi="Arial" w:eastAsia="Arial" w:cs="Arial"/>
          <w:b/>
          <w:bCs/>
          <w:color w:val="C00000"/>
          <w:sz w:val="20"/>
          <w:szCs w:val="20"/>
        </w:rPr>
      </w:pPr>
      <w:r>
        <w:rPr/>
      </w:r>
    </w:p>
    <w:p>
      <w:pPr>
        <w:pStyle w:val="Heading1"/>
        <w:spacing w:before="280" w:after="120"/>
        <w:rPr/>
      </w:pPr>
      <w:r>
        <w:rPr>
          <w:rFonts w:eastAsia="Arial" w:cs="Arial" w:ascii="Arial" w:hAnsi="Arial"/>
          <w:b/>
          <w:bCs/>
          <w:color w:val="1F3864"/>
          <w:sz w:val="26"/>
          <w:szCs w:val="26"/>
        </w:rPr>
        <w:t>4.  Account Management</w:t>
      </w:r>
    </w:p>
    <w:p>
      <w:pPr>
        <w:pStyle w:val="Heading2"/>
        <w:spacing w:before="200" w:after="80"/>
        <w:rPr/>
      </w:pPr>
      <w:r>
        <w:rPr>
          <w:rFonts w:eastAsia="Arial" w:cs="Arial" w:ascii="Arial" w:hAnsi="Arial"/>
          <w:b/>
          <w:bCs/>
          <w:color w:val="2E5090"/>
          <w:sz w:val="24"/>
          <w:szCs w:val="24"/>
        </w:rPr>
        <w:t>4.1  Account Creation</w:t>
      </w:r>
    </w:p>
    <w:p>
      <w:pPr>
        <w:pStyle w:val="Normal"/>
        <w:spacing w:before="80" w:after="80"/>
        <w:rPr/>
      </w:pPr>
      <w:r>
        <w:rPr>
          <w:rFonts w:eastAsia="Arial" w:cs="Arial"/>
          <w:sz w:val="22"/>
          <w:szCs w:val="22"/>
        </w:rPr>
        <w:t>All new user accounts require manager approval submitted via email to the IT helpdesk. Accounts will be provisioned within 3 business days of receiving approval.</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2"/>
        <w:spacing w:before="200" w:after="80"/>
        <w:rPr/>
      </w:pPr>
      <w:r>
        <w:rPr>
          <w:rFonts w:eastAsia="Arial" w:cs="Arial" w:ascii="Arial" w:hAnsi="Arial"/>
          <w:b/>
          <w:bCs/>
          <w:color w:val="2E5090"/>
          <w:sz w:val="24"/>
          <w:szCs w:val="24"/>
        </w:rPr>
        <w:t>4.2  Account Modification</w:t>
      </w:r>
    </w:p>
    <w:p>
      <w:pPr>
        <w:pStyle w:val="Normal"/>
        <w:spacing w:before="80" w:after="80"/>
        <w:rPr/>
      </w:pPr>
      <w:r>
        <w:rPr>
          <w:rFonts w:eastAsia="Arial" w:cs="Arial"/>
          <w:sz w:val="22"/>
          <w:szCs w:val="22"/>
        </w:rPr>
        <w:t>Managers must submit an email request to IT to modify user access when an employee changes roles.</w:t>
      </w:r>
    </w:p>
    <w:p>
      <w:pPr>
        <w:pStyle w:val="Normal"/>
        <w:spacing w:before="60" w:after="60"/>
        <w:rPr/>
      </w:pPr>
      <w:r>
        <w:rPr/>
      </w:r>
    </w:p>
    <w:p>
      <w:pPr>
        <w:pStyle w:val="Heading2"/>
        <w:spacing w:before="200" w:after="80"/>
        <w:rPr/>
      </w:pPr>
      <w:r>
        <w:rPr>
          <w:rFonts w:eastAsia="Arial" w:cs="Arial" w:ascii="Arial" w:hAnsi="Arial"/>
          <w:b/>
          <w:bCs/>
          <w:color w:val="2E5090"/>
          <w:sz w:val="24"/>
          <w:szCs w:val="24"/>
        </w:rPr>
        <w:t>4.3  Account Termination / Offboarding</w:t>
      </w:r>
    </w:p>
    <w:p>
      <w:pPr>
        <w:pStyle w:val="Normal"/>
        <w:spacing w:before="80" w:after="80"/>
        <w:rPr/>
      </w:pPr>
      <w:r>
        <w:rPr>
          <w:rFonts w:eastAsia="Arial" w:cs="Arial"/>
          <w:sz w:val="22"/>
          <w:szCs w:val="22"/>
        </w:rPr>
        <w:t>Upon employee separation, managers are responsible for notifying IT. Access will be revoked within 5 business days of notification.</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2"/>
        <w:spacing w:before="200" w:after="80"/>
        <w:rPr/>
      </w:pPr>
      <w:r>
        <w:rPr>
          <w:rFonts w:eastAsia="Arial" w:cs="Arial" w:ascii="Arial" w:hAnsi="Arial"/>
          <w:b/>
          <w:bCs/>
          <w:color w:val="2E5090"/>
          <w:sz w:val="24"/>
          <w:szCs w:val="24"/>
        </w:rPr>
        <w:t>4.4  Dormant Accounts</w:t>
      </w:r>
    </w:p>
    <w:p>
      <w:pPr>
        <w:pStyle w:val="Normal"/>
        <w:spacing w:before="80" w:after="80"/>
        <w:rPr/>
      </w:pPr>
      <w:r>
        <w:rPr>
          <w:rFonts w:eastAsia="Arial" w:cs="Arial"/>
          <w:sz w:val="22"/>
          <w:szCs w:val="22"/>
        </w:rPr>
        <w:t>User accounts that have not been accessed in 180 days will be reviewed and may be disabled.</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5.  Authentication Requirements</w:t>
      </w:r>
    </w:p>
    <w:p>
      <w:pPr>
        <w:pStyle w:val="Heading2"/>
        <w:spacing w:before="200" w:after="80"/>
        <w:rPr/>
      </w:pPr>
      <w:r>
        <w:rPr>
          <w:rFonts w:eastAsia="Arial" w:cs="Arial" w:ascii="Arial" w:hAnsi="Arial"/>
          <w:b/>
          <w:bCs/>
          <w:color w:val="2E5090"/>
          <w:sz w:val="24"/>
          <w:szCs w:val="24"/>
        </w:rPr>
        <w:t>5.1  Passwords</w:t>
      </w:r>
    </w:p>
    <w:p>
      <w:pPr>
        <w:pStyle w:val="ListParagraph"/>
        <w:numPr>
          <w:ilvl w:val="0"/>
          <w:numId w:val="1"/>
        </w:numPr>
        <w:spacing w:before="60" w:after="60"/>
        <w:rPr/>
      </w:pPr>
      <w:r>
        <w:rPr>
          <w:rFonts w:eastAsia="Arial" w:cs="Arial"/>
          <w:sz w:val="22"/>
          <w:szCs w:val="22"/>
        </w:rPr>
        <w:t>All users must have a unique username and password</w:t>
      </w:r>
    </w:p>
    <w:p>
      <w:pPr>
        <w:pStyle w:val="ListParagraph"/>
        <w:numPr>
          <w:ilvl w:val="0"/>
          <w:numId w:val="1"/>
        </w:numPr>
        <w:spacing w:before="60" w:after="60"/>
        <w:rPr/>
      </w:pPr>
      <w:r>
        <w:rPr>
          <w:rFonts w:eastAsia="Arial" w:cs="Arial"/>
          <w:sz w:val="22"/>
          <w:szCs w:val="22"/>
        </w:rPr>
        <w:t>Passwords must be a minimum of 8 characters</w:t>
      </w:r>
    </w:p>
    <w:p>
      <w:pPr>
        <w:pStyle w:val="ListParagraph"/>
        <w:numPr>
          <w:ilvl w:val="0"/>
          <w:numId w:val="1"/>
        </w:numPr>
        <w:spacing w:before="60" w:after="60"/>
        <w:rPr/>
      </w:pPr>
      <w:r>
        <w:rPr>
          <w:rFonts w:eastAsia="Arial" w:cs="Arial"/>
          <w:sz w:val="22"/>
          <w:szCs w:val="22"/>
        </w:rPr>
        <w:t>Passwords must be changed every 90 days</w:t>
      </w:r>
    </w:p>
    <w:p>
      <w:pPr>
        <w:pStyle w:val="ListParagraph"/>
        <w:numPr>
          <w:ilvl w:val="0"/>
          <w:numId w:val="1"/>
        </w:numPr>
        <w:spacing w:before="60" w:after="60"/>
        <w:rPr/>
      </w:pPr>
      <w:r>
        <w:rPr>
          <w:rFonts w:eastAsia="Arial" w:cs="Arial"/>
          <w:sz w:val="22"/>
          <w:szCs w:val="22"/>
        </w:rPr>
        <w:t>Passwords must not be shared</w:t>
      </w:r>
    </w:p>
    <w:p>
      <w:pPr>
        <w:pStyle w:val="Normal"/>
        <w:spacing w:before="60" w:after="60"/>
        <w:rPr>
          <w:rFonts w:ascii="Arial" w:hAnsi="Arial" w:eastAsia="Arial" w:cs="Arial"/>
          <w:i/>
          <w:i/>
          <w:iCs/>
          <w:color w:val="C00000"/>
          <w:sz w:val="20"/>
          <w:szCs w:val="20"/>
        </w:rPr>
      </w:pPr>
      <w:r>
        <w:rPr/>
      </w:r>
    </w:p>
    <w:p>
      <w:pPr>
        <w:pStyle w:val="Heading2"/>
        <w:spacing w:before="200" w:after="80"/>
        <w:rPr/>
      </w:pPr>
      <w:r>
        <w:rPr>
          <w:rFonts w:eastAsia="Arial" w:cs="Arial" w:ascii="Arial" w:hAnsi="Arial"/>
          <w:b/>
          <w:bCs/>
          <w:color w:val="2E5090"/>
          <w:sz w:val="24"/>
          <w:szCs w:val="24"/>
        </w:rPr>
        <w:t>5.2  Multi-Factor Authentication (MFA)</w:t>
      </w:r>
    </w:p>
    <w:p>
      <w:pPr>
        <w:pStyle w:val="Normal"/>
        <w:spacing w:before="80" w:after="80"/>
        <w:rPr/>
      </w:pPr>
      <w:r>
        <w:rPr>
          <w:rFonts w:eastAsia="Arial" w:cs="Arial"/>
          <w:sz w:val="22"/>
          <w:szCs w:val="22"/>
        </w:rPr>
        <w:t>Multi-factor authentication is encouraged for remote access where technically feasible.</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6.  Least Privilege and Need-to-Know</w:t>
      </w:r>
    </w:p>
    <w:p>
      <w:pPr>
        <w:pStyle w:val="Normal"/>
        <w:spacing w:before="80" w:after="80"/>
        <w:rPr/>
      </w:pPr>
      <w:r>
        <w:rPr>
          <w:rFonts w:eastAsia="Arial" w:cs="Arial"/>
          <w:sz w:val="22"/>
          <w:szCs w:val="22"/>
        </w:rPr>
        <w:t>Users shall be granted the minimum access necessary to perform their job functions. Managers are responsible for determining appropriate access levels for their teams.</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7.  Privileged and Administrative Access</w:t>
      </w:r>
    </w:p>
    <w:p>
      <w:pPr>
        <w:pStyle w:val="Normal"/>
        <w:spacing w:before="80" w:after="80"/>
        <w:rPr/>
      </w:pPr>
      <w:r>
        <w:rPr>
          <w:rFonts w:eastAsia="Arial" w:cs="Arial"/>
          <w:sz w:val="22"/>
          <w:szCs w:val="22"/>
        </w:rPr>
        <w:t>Administrative access to systems is restricted to IT personnel. Admin credentials must not be used for routine tasks.</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8.  Remote Access</w:t>
      </w:r>
    </w:p>
    <w:p>
      <w:pPr>
        <w:pStyle w:val="Normal"/>
        <w:spacing w:before="80" w:after="80"/>
        <w:rPr/>
      </w:pPr>
      <w:r>
        <w:rPr>
          <w:rFonts w:eastAsia="Arial" w:cs="Arial"/>
          <w:sz w:val="22"/>
          <w:szCs w:val="22"/>
        </w:rPr>
        <w:t>Employees working remotely must use company-approved methods to access internal systems. Use of personal devices is discouraged.</w:t>
      </w:r>
    </w:p>
    <w:p>
      <w:pPr>
        <w:pStyle w:val="Normal"/>
        <w:spacing w:before="60" w:after="60"/>
        <w:rPr>
          <w:rFonts w:ascii="Arial" w:hAnsi="Arial" w:eastAsia="Arial" w:cs="Arial"/>
          <w:i/>
          <w:i/>
          <w:iCs/>
          <w:color w:val="C00000"/>
          <w:sz w:val="20"/>
          <w:szCs w:val="20"/>
        </w:rPr>
      </w:pPr>
      <w:r>
        <w:rPr/>
      </w:r>
    </w:p>
    <w:p>
      <w:pPr>
        <w:pStyle w:val="Heading1"/>
        <w:spacing w:before="280" w:after="120"/>
        <w:rPr/>
      </w:pPr>
      <w:r>
        <w:rPr>
          <w:rFonts w:eastAsia="Arial" w:cs="Arial" w:ascii="Arial" w:hAnsi="Arial"/>
          <w:b/>
          <w:bCs/>
          <w:color w:val="1F3864"/>
          <w:sz w:val="26"/>
          <w:szCs w:val="26"/>
        </w:rPr>
        <w:t>9.  Access Reviews</w:t>
      </w:r>
    </w:p>
    <w:p>
      <w:pPr>
        <w:pStyle w:val="Normal"/>
        <w:spacing w:before="80" w:after="80"/>
        <w:rPr/>
      </w:pPr>
      <w:r>
        <w:rPr>
          <w:rFonts w:eastAsia="Arial" w:cs="Arial"/>
          <w:sz w:val="22"/>
          <w:szCs w:val="22"/>
        </w:rPr>
        <w:t>System access will be reviewed annually by the IT Department. Any unnecessary access identified during the review will be removed.</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10.  Audit Logging and Monitoring</w:t>
      </w:r>
    </w:p>
    <w:p>
      <w:pPr>
        <w:pStyle w:val="Normal"/>
        <w:spacing w:before="80" w:after="80"/>
        <w:rPr/>
      </w:pPr>
      <w:r>
        <w:rPr>
          <w:rFonts w:eastAsia="Arial" w:cs="Arial"/>
          <w:sz w:val="22"/>
          <w:szCs w:val="22"/>
        </w:rPr>
        <w:t>System activity logs are maintained for all production systems. Logs will be reviewed as needed.</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11.  Enforcement</w:t>
      </w:r>
    </w:p>
    <w:p>
      <w:pPr>
        <w:pStyle w:val="Normal"/>
        <w:spacing w:before="80" w:after="80"/>
        <w:rPr/>
      </w:pPr>
      <w:r>
        <w:rPr>
          <w:rFonts w:eastAsia="Arial" w:cs="Arial"/>
          <w:sz w:val="22"/>
          <w:szCs w:val="22"/>
        </w:rPr>
        <w:t>Violations of this policy may result in disciplinary action up to and including termination. The IT Department is responsible for enforcing this policy.</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12.  Exceptions</w:t>
      </w:r>
    </w:p>
    <w:p>
      <w:pPr>
        <w:pStyle w:val="Normal"/>
        <w:spacing w:before="80" w:after="80"/>
        <w:rPr/>
      </w:pPr>
      <w:r>
        <w:rPr>
          <w:rFonts w:eastAsia="Arial" w:cs="Arial"/>
          <w:sz w:val="22"/>
          <w:szCs w:val="22"/>
        </w:rPr>
        <w:t>Exceptions to this policy must be approved by the IT Manager. All exceptions will be documented.</w:t>
      </w:r>
    </w:p>
    <w:p>
      <w:pPr>
        <w:pStyle w:val="Normal"/>
        <w:spacing w:before="60" w:after="60"/>
        <w:rPr>
          <w:rFonts w:ascii="Arial" w:hAnsi="Arial" w:eastAsia="Arial" w:cs="Arial"/>
          <w:i/>
          <w:i/>
          <w:iCs/>
          <w:color w:val="C00000"/>
          <w:sz w:val="20"/>
          <w:szCs w:val="20"/>
        </w:rPr>
      </w:pPr>
      <w:r>
        <w:rPr/>
      </w:r>
    </w:p>
    <w:p>
      <w:pPr>
        <w:pStyle w:val="Normal"/>
        <w:spacing w:before="60" w:after="60"/>
        <w:rPr/>
      </w:pPr>
      <w:r>
        <w:rPr/>
      </w:r>
    </w:p>
    <w:p>
      <w:pPr>
        <w:pStyle w:val="Heading1"/>
        <w:spacing w:before="280" w:after="120"/>
        <w:rPr/>
      </w:pPr>
      <w:r>
        <w:rPr>
          <w:rFonts w:eastAsia="Arial" w:cs="Arial" w:ascii="Arial" w:hAnsi="Arial"/>
          <w:b/>
          <w:bCs/>
          <w:color w:val="1F3864"/>
          <w:sz w:val="26"/>
          <w:szCs w:val="26"/>
        </w:rPr>
        <w:t>13.  Policy Review and Maintenance</w:t>
      </w:r>
    </w:p>
    <w:p>
      <w:pPr>
        <w:pStyle w:val="Normal"/>
        <w:spacing w:before="80" w:after="80"/>
        <w:rPr/>
      </w:pPr>
      <w:r>
        <w:rPr>
          <w:rFonts w:eastAsia="Arial" w:cs="Arial"/>
          <w:sz w:val="22"/>
          <w:szCs w:val="22"/>
        </w:rPr>
        <w:t>This policy will be reviewed annually or when significant changes occur. The IT Department is responsible for maintaining this document.</w:t>
      </w:r>
    </w:p>
    <w:p>
      <w:pPr>
        <w:pStyle w:val="Normal"/>
        <w:spacing w:before="60" w:after="60"/>
        <w:rPr/>
      </w:pPr>
      <w:r>
        <w:rPr/>
      </w:r>
    </w:p>
    <w:p>
      <w:pPr>
        <w:pStyle w:val="Heading1"/>
        <w:spacing w:before="280" w:after="120"/>
        <w:rPr/>
      </w:pPr>
      <w:r>
        <w:rPr>
          <w:rFonts w:eastAsia="Arial" w:cs="Arial" w:ascii="Arial" w:hAnsi="Arial"/>
          <w:b/>
          <w:bCs/>
          <w:color w:val="1F3864"/>
          <w:sz w:val="26"/>
          <w:szCs w:val="26"/>
        </w:rPr>
        <w:t>14.  References</w:t>
      </w:r>
    </w:p>
    <w:p>
      <w:pPr>
        <w:pStyle w:val="ListParagraph"/>
        <w:numPr>
          <w:ilvl w:val="0"/>
          <w:numId w:val="1"/>
        </w:numPr>
        <w:spacing w:before="60" w:after="60"/>
        <w:rPr/>
      </w:pPr>
      <w:r>
        <w:rPr>
          <w:rFonts w:eastAsia="Arial" w:cs="Arial"/>
          <w:sz w:val="22"/>
          <w:szCs w:val="22"/>
        </w:rPr>
        <w:t>NIST SP 800-53 Rev 5 — Access Control (AC) Control Family</w:t>
      </w:r>
    </w:p>
    <w:p>
      <w:pPr>
        <w:pStyle w:val="ListParagraph"/>
        <w:numPr>
          <w:ilvl w:val="0"/>
          <w:numId w:val="1"/>
        </w:numPr>
        <w:spacing w:before="60" w:after="60"/>
        <w:rPr/>
      </w:pPr>
      <w:r>
        <w:rPr>
          <w:rFonts w:eastAsia="Arial" w:cs="Arial"/>
          <w:sz w:val="22"/>
          <w:szCs w:val="22"/>
        </w:rPr>
        <w:t>CMMC Level 2 Practice AC.L2-3.1.1 through AC.L2-3.1.22</w:t>
      </w:r>
    </w:p>
    <w:p>
      <w:pPr>
        <w:pStyle w:val="ListParagraph"/>
        <w:numPr>
          <w:ilvl w:val="0"/>
          <w:numId w:val="1"/>
        </w:numPr>
        <w:spacing w:before="60" w:after="60"/>
        <w:rPr/>
      </w:pPr>
      <w:r>
        <w:rPr>
          <w:rFonts w:eastAsia="Arial" w:cs="Arial"/>
          <w:sz w:val="22"/>
          <w:szCs w:val="22"/>
        </w:rPr>
        <w:t>DFARS 252.204-7012 — Safeguarding Covered Defense Information</w:t>
      </w:r>
    </w:p>
    <w:p>
      <w:pPr>
        <w:pStyle w:val="Normal"/>
        <w:spacing w:before="60" w:after="60"/>
        <w:rPr>
          <w:rFonts w:ascii="Arial" w:hAnsi="Arial" w:eastAsia="Arial" w:cs="Arial"/>
          <w:i/>
          <w:i/>
          <w:iCs/>
          <w:color w:val="C00000"/>
          <w:sz w:val="20"/>
          <w:szCs w:val="20"/>
        </w:rPr>
      </w:pPr>
      <w:r>
        <w:rPr/>
      </w:r>
    </w:p>
    <w:p>
      <w:pPr>
        <w:pStyle w:val="Normal"/>
        <w:pBdr>
          <w:top w:val="single" w:sz="4" w:space="4" w:color="1F3864"/>
        </w:pBdr>
        <w:spacing w:before="360" w:after="80"/>
        <w:rPr/>
      </w:pPr>
      <w:r>
        <w:rPr>
          <w:rFonts w:eastAsia="Arial" w:cs="Arial"/>
          <w:b/>
          <w:bCs/>
          <w:color w:val="1F3864"/>
          <w:sz w:val="24"/>
          <w:szCs w:val="24"/>
        </w:rPr>
        <w:t>Approval &amp; Signature</w:t>
      </w:r>
    </w:p>
    <w:tbl>
      <w:tblPr>
        <w:tblW w:w="9360" w:type="dxa"/>
        <w:jc w:val="left"/>
        <w:tblInd w:w="0" w:type="dxa"/>
        <w:tblLayout w:type="fixed"/>
        <w:tblCellMar>
          <w:top w:w="80" w:type="dxa"/>
          <w:left w:w="120" w:type="dxa"/>
          <w:bottom w:w="200" w:type="dxa"/>
          <w:right w:w="12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F8F8F8" w:val="clear"/>
          </w:tcPr>
          <w:p>
            <w:pPr>
              <w:pStyle w:val="Normal"/>
              <w:rPr/>
            </w:pPr>
            <w:r>
              <w:rPr>
                <w:rFonts w:eastAsia="Arial" w:cs="Arial"/>
                <w:b/>
                <w:bCs/>
                <w:sz w:val="20"/>
                <w:szCs w:val="20"/>
              </w:rPr>
              <w:t>Prepared By:</w:t>
            </w:r>
          </w:p>
          <w:p>
            <w:pPr>
              <w:pStyle w:val="Normal"/>
              <w:rPr/>
            </w:pPr>
            <w:r>
              <w:rPr>
                <w:rFonts w:eastAsia="Arial" w:cs="Arial"/>
                <w:sz w:val="20"/>
                <w:szCs w:val="20"/>
              </w:rPr>
              <w:t>IT Department, Apex Defense Contractors LLC</w:t>
            </w:r>
          </w:p>
          <w:p>
            <w:pPr>
              <w:pStyle w:val="Normal"/>
              <w:spacing w:before="60" w:after="60"/>
              <w:rPr/>
            </w:pPr>
            <w:r>
              <w:rPr/>
            </w:r>
          </w:p>
          <w:p>
            <w:pPr>
              <w:pStyle w:val="Normal"/>
              <w:rPr/>
            </w:pPr>
            <w:r>
              <w:rPr>
                <w:rFonts w:eastAsia="Arial" w:cs="Arial"/>
                <w:color w:val="888888"/>
                <w:sz w:val="20"/>
                <w:szCs w:val="20"/>
              </w:rPr>
              <w:t>Signature: _______________________</w:t>
            </w:r>
          </w:p>
          <w:p>
            <w:pPr>
              <w:pStyle w:val="Normal"/>
              <w:rPr/>
            </w:pPr>
            <w:r>
              <w:rPr>
                <w:rFonts w:eastAsia="Arial" w:cs="Arial"/>
                <w:color w:val="888888"/>
                <w:sz w:val="20"/>
                <w:szCs w:val="20"/>
              </w:rPr>
              <w:t>Date: ___________________________</w:t>
            </w:r>
          </w:p>
        </w:tc>
        <w:tc>
          <w:tcPr>
            <w:tcW w:w="4679" w:type="dxa"/>
            <w:tcBorders>
              <w:top w:val="single" w:sz="2" w:space="0" w:color="AAAAAA"/>
              <w:left w:val="single" w:sz="2" w:space="0" w:color="AAAAAA"/>
              <w:bottom w:val="single" w:sz="2" w:space="0" w:color="AAAAAA"/>
              <w:right w:val="single" w:sz="2" w:space="0" w:color="AAAAAA"/>
            </w:tcBorders>
            <w:shd w:fill="F8F8F8" w:val="clear"/>
          </w:tcPr>
          <w:p>
            <w:pPr>
              <w:pStyle w:val="Normal"/>
              <w:rPr/>
            </w:pPr>
            <w:r>
              <w:rPr>
                <w:rFonts w:eastAsia="Arial" w:cs="Arial"/>
                <w:b/>
                <w:bCs/>
                <w:sz w:val="20"/>
                <w:szCs w:val="20"/>
              </w:rPr>
              <w:t>Approved By:</w:t>
            </w:r>
          </w:p>
          <w:p>
            <w:pPr>
              <w:pStyle w:val="Normal"/>
              <w:rPr/>
            </w:pPr>
            <w:r>
              <w:rPr>
                <w:rFonts w:eastAsia="Arial" w:cs="Arial"/>
                <w:sz w:val="20"/>
                <w:szCs w:val="20"/>
              </w:rPr>
              <w:t>Chief Executive Officer</w:t>
            </w:r>
          </w:p>
          <w:p>
            <w:pPr>
              <w:pStyle w:val="Normal"/>
              <w:spacing w:before="60" w:after="60"/>
              <w:rPr/>
            </w:pPr>
            <w:r>
              <w:rPr/>
            </w:r>
          </w:p>
          <w:p>
            <w:pPr>
              <w:pStyle w:val="Normal"/>
              <w:rPr/>
            </w:pPr>
            <w:r>
              <w:rPr>
                <w:rFonts w:eastAsia="Arial" w:cs="Arial"/>
                <w:color w:val="888888"/>
                <w:sz w:val="20"/>
                <w:szCs w:val="20"/>
              </w:rPr>
              <w:t>Signature: _______________________</w:t>
            </w:r>
          </w:p>
          <w:p>
            <w:pPr>
              <w:pStyle w:val="Normal"/>
              <w:rPr/>
            </w:pPr>
            <w:r>
              <w:rPr>
                <w:rFonts w:eastAsia="Arial" w:cs="Arial"/>
                <w:color w:val="888888"/>
                <w:sz w:val="20"/>
                <w:szCs w:val="20"/>
              </w:rPr>
              <w:t>Date: ___________________________</w:t>
            </w:r>
          </w:p>
        </w:tc>
      </w:tr>
    </w:tbl>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APEX DEFENSE CONTRACTORS LLC  |  ACCESS CONTROL POLICY  |  Page </w:t>
    </w:r>
    <w:r>
      <w:rPr/>
      <w:fldChar w:fldCharType="begin"/>
    </w:r>
    <w:r>
      <w:rPr/>
      <w:instrText xml:space="preserve"> PAGE </w:instrText>
    </w:r>
    <w:r>
      <w:rPr/>
      <w:fldChar w:fldCharType="separate"/>
    </w:r>
    <w:r>
      <w:rPr/>
      <w:t>2</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APEX DEFENSE CONTRACTORS LLC  |  ACCESS CONTROL POLICY  |  Page </w:t>
    </w:r>
    <w:r>
      <w:rPr/>
      <w:fldChar w:fldCharType="begin"/>
    </w:r>
    <w:r>
      <w:rPr/>
      <w:instrText xml:space="preserve"> PAGE </w:instrText>
    </w:r>
    <w:r>
      <w:rPr/>
      <w:fldChar w:fldCharType="separate"/>
    </w:r>
    <w:r>
      <w:rPr/>
      <w:t>2</w:t>
    </w:r>
    <w:r>
      <w:rPr/>
      <w:fldChar w:fldCharType="end"/>
    </w:r>
    <w:r>
      <w:rPr>
        <w:rFonts w:eastAsia="Arial" w:cs="Arial"/>
        <w:color w:val="888888"/>
        <w:sz w:val="18"/>
        <w:szCs w:val="18"/>
      </w:rPr>
      <w:t xml:space="preserve"> of </w:t>
    </w:r>
    <w:r>
      <w:rPr/>
      <w:fldChar w:fldCharType="begin"/>
    </w:r>
    <w:r>
      <w:rPr/>
      <w:instrText xml:space="preserve"> NUMPAGES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20"/>
      <w:outlineLvl w:val="0"/>
    </w:pPr>
    <w:rPr>
      <w:rFonts w:ascii="Arial" w:hAnsi="Arial" w:eastAsia="Arial" w:cs="Arial"/>
      <w:b/>
      <w:bCs/>
      <w:color w:val="1F3864"/>
      <w:sz w:val="26"/>
      <w:szCs w:val="26"/>
    </w:rPr>
  </w:style>
  <w:style w:type="paragraph" w:styleId="Heading2">
    <w:name w:val="heading 2"/>
    <w:basedOn w:val="Heading"/>
    <w:qFormat/>
    <w:pPr>
      <w:spacing w:before="200" w:after="80"/>
      <w:outlineLvl w:val="1"/>
    </w:pPr>
    <w:rPr>
      <w:rFonts w:ascii="Arial" w:hAnsi="Arial" w:eastAsia="Arial" w:cs="Arial"/>
      <w:b/>
      <w:bCs/>
      <w:color w:val="2E509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479</TotalTime>
  <Application>LibreOffice/25.2.7.2$Windows_X86_64 LibreOffice_project/5cbfd1ab6520636bb5f7b99185aa69bd7456825d</Application>
  <AppVersion>15.0000</AppVersion>
  <Pages>4</Pages>
  <Words>553</Words>
  <Characters>3254</Characters>
  <CharactersWithSpaces>3741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2026-05-02T04:16:46Z</dcterms:created>
  <dc:creator>Un-named</dc:creator>
  <dc:description/>
  <dc:language>en-US</dc:language>
  <cp:lastModifiedBy/>
  <dcterms:modified xsi:type="dcterms:W3CDTF">2026-05-07T10:19:54Z</dcterms:modified>
  <cp:revision>2</cp:revision>
  <dc:subject/>
  <dc:title/>
</cp:coreProperties>
</file>