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0"/>
        <w:rPr/>
      </w:pPr>
      <w:r>
        <w:rPr/>
      </w:r>
    </w:p>
    <w:p>
      <w:pPr>
        <w:pStyle w:val="Normal"/>
        <w:spacing w:before="0" w:after="60"/>
        <w:jc w:val="center"/>
        <w:rPr/>
      </w:pPr>
      <w:r>
        <w:rPr>
          <w:rFonts w:eastAsia="Arial" w:cs="Arial"/>
          <w:caps/>
          <w:color w:val="888888"/>
          <w:sz w:val="20"/>
          <w:szCs w:val="20"/>
        </w:rPr>
        <w:t>STANDARD OPERATING PROCEDURE</w:t>
      </w:r>
    </w:p>
    <w:p>
      <w:pPr>
        <w:pStyle w:val="Normal"/>
        <w:spacing w:before="0" w:after="120"/>
        <w:jc w:val="center"/>
        <w:rPr/>
      </w:pPr>
      <w:r>
        <w:rPr>
          <w:rFonts w:eastAsia="Arial" w:cs="Arial"/>
          <w:b/>
          <w:bCs/>
          <w:color w:val="1A3A5C"/>
          <w:sz w:val="48"/>
          <w:szCs w:val="48"/>
        </w:rPr>
        <w:t>NIST 800-53 Policy Gap Analyzer</w:t>
      </w:r>
    </w:p>
    <w:p>
      <w:pPr>
        <w:pStyle w:val="Normal"/>
        <w:spacing w:before="0" w:after="400"/>
        <w:jc w:val="center"/>
        <w:rPr/>
      </w:pPr>
      <w:r>
        <w:rPr>
          <w:rFonts w:eastAsia="Arial" w:cs="Arial"/>
          <w:color w:val="1A5276"/>
          <w:sz w:val="24"/>
          <w:szCs w:val="24"/>
        </w:rPr>
        <w:t>Usage Guide &amp; Storage Procedures for Claude Projects</w:t>
      </w:r>
    </w:p>
    <w:tbl>
      <w:tblPr>
        <w:tblW w:w="6000" w:type="dxa"/>
        <w:jc w:val="center"/>
        <w:tblInd w:w="0" w:type="dxa"/>
        <w:tblLayout w:type="fixed"/>
        <w:tblCellMar>
          <w:top w:w="100" w:type="dxa"/>
          <w:left w:w="140" w:type="dxa"/>
          <w:bottom w:w="100" w:type="dxa"/>
          <w:right w:w="140" w:type="dxa"/>
        </w:tblCellMar>
      </w:tblPr>
      <w:tblGrid>
        <w:gridCol w:w="2400"/>
        <w:gridCol w:w="3599"/>
      </w:tblGrid>
      <w:tr>
        <w:trPr/>
        <w:tc>
          <w:tcPr>
            <w:tcW w:w="2400" w:type="dxa"/>
            <w:tcBorders>
              <w:top w:val="single" w:sz="2" w:space="0" w:color="CCCCCC"/>
              <w:left w:val="single" w:sz="2" w:space="0" w:color="CCCCCC"/>
              <w:bottom w:val="single" w:sz="2" w:space="0" w:color="CCCCCC"/>
              <w:right w:val="single" w:sz="2" w:space="0" w:color="CCCCCC"/>
            </w:tcBorders>
            <w:shd w:fill="1A3A5C" w:val="clear"/>
          </w:tcPr>
          <w:p>
            <w:pPr>
              <w:pStyle w:val="Normal"/>
              <w:rPr/>
            </w:pPr>
            <w:r>
              <w:rPr>
                <w:rFonts w:eastAsia="Arial" w:cs="Arial"/>
                <w:b/>
                <w:bCs/>
                <w:color w:val="FFFFFF"/>
                <w:sz w:val="20"/>
                <w:szCs w:val="20"/>
              </w:rPr>
              <w:t>SOP ID</w:t>
            </w:r>
          </w:p>
        </w:tc>
        <w:tc>
          <w:tcPr>
            <w:tcW w:w="35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SOP-CYBER-001</w:t>
            </w:r>
          </w:p>
        </w:tc>
      </w:tr>
      <w:tr>
        <w:trPr/>
        <w:tc>
          <w:tcPr>
            <w:tcW w:w="2400" w:type="dxa"/>
            <w:tcBorders>
              <w:top w:val="single" w:sz="2" w:space="0" w:color="CCCCCC"/>
              <w:left w:val="single" w:sz="2" w:space="0" w:color="CCCCCC"/>
              <w:bottom w:val="single" w:sz="2" w:space="0" w:color="CCCCCC"/>
              <w:right w:val="single" w:sz="2" w:space="0" w:color="CCCCCC"/>
            </w:tcBorders>
            <w:shd w:fill="1A3A5C" w:val="clear"/>
          </w:tcPr>
          <w:p>
            <w:pPr>
              <w:pStyle w:val="Normal"/>
              <w:rPr/>
            </w:pPr>
            <w:r>
              <w:rPr>
                <w:rFonts w:eastAsia="Arial" w:cs="Arial"/>
                <w:b/>
                <w:bCs/>
                <w:color w:val="FFFFFF"/>
                <w:sz w:val="20"/>
                <w:szCs w:val="20"/>
              </w:rPr>
              <w:t>Version</w:t>
            </w:r>
          </w:p>
        </w:tc>
        <w:tc>
          <w:tcPr>
            <w:tcW w:w="35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1.0</w:t>
            </w:r>
          </w:p>
        </w:tc>
      </w:tr>
      <w:tr>
        <w:trPr/>
        <w:tc>
          <w:tcPr>
            <w:tcW w:w="2400" w:type="dxa"/>
            <w:tcBorders>
              <w:top w:val="single" w:sz="2" w:space="0" w:color="CCCCCC"/>
              <w:left w:val="single" w:sz="2" w:space="0" w:color="CCCCCC"/>
              <w:bottom w:val="single" w:sz="2" w:space="0" w:color="CCCCCC"/>
              <w:right w:val="single" w:sz="2" w:space="0" w:color="CCCCCC"/>
            </w:tcBorders>
            <w:shd w:fill="1A3A5C" w:val="clear"/>
          </w:tcPr>
          <w:p>
            <w:pPr>
              <w:pStyle w:val="Normal"/>
              <w:rPr/>
            </w:pPr>
            <w:r>
              <w:rPr>
                <w:rFonts w:eastAsia="Arial" w:cs="Arial"/>
                <w:b/>
                <w:bCs/>
                <w:color w:val="FFFFFF"/>
                <w:sz w:val="20"/>
                <w:szCs w:val="20"/>
              </w:rPr>
              <w:t>Effective Date</w:t>
            </w:r>
          </w:p>
        </w:tc>
        <w:tc>
          <w:tcPr>
            <w:tcW w:w="35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May 7, 2026</w:t>
            </w:r>
          </w:p>
        </w:tc>
      </w:tr>
      <w:tr>
        <w:trPr/>
        <w:tc>
          <w:tcPr>
            <w:tcW w:w="2400" w:type="dxa"/>
            <w:tcBorders>
              <w:top w:val="single" w:sz="2" w:space="0" w:color="CCCCCC"/>
              <w:left w:val="single" w:sz="2" w:space="0" w:color="CCCCCC"/>
              <w:bottom w:val="single" w:sz="2" w:space="0" w:color="CCCCCC"/>
              <w:right w:val="single" w:sz="2" w:space="0" w:color="CCCCCC"/>
            </w:tcBorders>
            <w:shd w:fill="1A3A5C" w:val="clear"/>
          </w:tcPr>
          <w:p>
            <w:pPr>
              <w:pStyle w:val="Normal"/>
              <w:rPr/>
            </w:pPr>
            <w:r>
              <w:rPr>
                <w:rFonts w:eastAsia="Arial" w:cs="Arial"/>
                <w:b/>
                <w:bCs/>
                <w:color w:val="FFFFFF"/>
                <w:sz w:val="20"/>
                <w:szCs w:val="20"/>
              </w:rPr>
              <w:t>Classification</w:t>
            </w:r>
          </w:p>
        </w:tc>
        <w:tc>
          <w:tcPr>
            <w:tcW w:w="35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Internal Use Only</w:t>
            </w:r>
          </w:p>
        </w:tc>
      </w:tr>
      <w:tr>
        <w:trPr/>
        <w:tc>
          <w:tcPr>
            <w:tcW w:w="2400" w:type="dxa"/>
            <w:tcBorders>
              <w:top w:val="single" w:sz="2" w:space="0" w:color="CCCCCC"/>
              <w:left w:val="single" w:sz="2" w:space="0" w:color="CCCCCC"/>
              <w:bottom w:val="single" w:sz="2" w:space="0" w:color="CCCCCC"/>
              <w:right w:val="single" w:sz="2" w:space="0" w:color="CCCCCC"/>
            </w:tcBorders>
            <w:shd w:fill="1A3A5C" w:val="clear"/>
          </w:tcPr>
          <w:p>
            <w:pPr>
              <w:pStyle w:val="Normal"/>
              <w:rPr/>
            </w:pPr>
            <w:r>
              <w:rPr>
                <w:rFonts w:eastAsia="Arial" w:cs="Arial"/>
                <w:b/>
                <w:bCs/>
                <w:color w:val="FFFFFF"/>
                <w:sz w:val="20"/>
                <w:szCs w:val="20"/>
              </w:rPr>
              <w:t>Owner</w:t>
            </w:r>
          </w:p>
        </w:tc>
        <w:tc>
          <w:tcPr>
            <w:tcW w:w="359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Cybersecurity Compliance Team</w:t>
            </w:r>
          </w:p>
        </w:tc>
      </w:tr>
    </w:tbl>
    <w:p>
      <w:pPr>
        <w:pStyle w:val="Normal"/>
        <w:spacing w:before="400" w:after="0"/>
        <w:rPr/>
      </w:pPr>
      <w:r>
        <w:rPr/>
      </w:r>
    </w:p>
    <w:p>
      <w:pPr>
        <w:pStyle w:val="Normal"/>
        <w:pBdr>
          <w:bottom w:val="single" w:sz="4" w:space="1" w:color="CCCCCC"/>
        </w:pBdr>
        <w:spacing w:before="160" w:after="160"/>
        <w:rPr/>
      </w:pPr>
      <w:r>
        <w:rPr/>
      </w:r>
    </w:p>
    <w:p>
      <w:pPr>
        <w:pStyle w:val="Heading1"/>
        <w:spacing w:before="320" w:after="160"/>
        <w:rPr/>
      </w:pPr>
      <w:r>
        <w:rPr>
          <w:rFonts w:eastAsia="Arial" w:cs="Arial" w:ascii="Arial" w:hAnsi="Arial"/>
          <w:b/>
          <w:bCs/>
          <w:color w:val="1A3A5C"/>
          <w:sz w:val="32"/>
          <w:szCs w:val="32"/>
        </w:rPr>
        <w:t>1. Purpose and Scope</w:t>
      </w:r>
    </w:p>
    <w:p>
      <w:pPr>
        <w:pStyle w:val="Normal"/>
        <w:spacing w:before="80" w:after="80"/>
        <w:rPr/>
      </w:pPr>
      <w:r>
        <w:rPr>
          <w:rFonts w:eastAsia="Arial" w:cs="Arial"/>
          <w:sz w:val="22"/>
          <w:szCs w:val="22"/>
        </w:rPr>
        <w:t>This SOP governs the correct usage of the NIST 800-53 Policy Gap Analyzer tool embedded within Claude Projects. It ensures consistent, accurate, and reproducible gap analyses across all compliance engagements and defines approved procedures for storing the tool securely within a Claude Project.</w:t>
      </w:r>
    </w:p>
    <w:p>
      <w:pPr>
        <w:pStyle w:val="Normal"/>
        <w:spacing w:before="40" w:after="0"/>
        <w:rPr/>
      </w:pPr>
      <w:r>
        <w:rPr/>
      </w:r>
    </w:p>
    <w:tbl>
      <w:tblPr>
        <w:tblW w:w="9360" w:type="dxa"/>
        <w:jc w:val="left"/>
        <w:tblInd w:w="0" w:type="dxa"/>
        <w:tblLayout w:type="fixed"/>
        <w:tblCellMar>
          <w:top w:w="100" w:type="dxa"/>
          <w:left w:w="140" w:type="dxa"/>
          <w:bottom w:w="100" w:type="dxa"/>
          <w:right w:w="140" w:type="dxa"/>
        </w:tblCellMar>
      </w:tblPr>
      <w:tblGrid>
        <w:gridCol w:w="2000"/>
        <w:gridCol w:w="7359"/>
      </w:tblGrid>
      <w:tr>
        <w:trPr/>
        <w:tc>
          <w:tcPr>
            <w:tcW w:w="2000" w:type="dxa"/>
            <w:tcBorders>
              <w:top w:val="single" w:sz="2" w:space="0" w:color="CCCCCC"/>
              <w:left w:val="single" w:sz="2" w:space="0" w:color="CCCCCC"/>
              <w:bottom w:val="single" w:sz="2" w:space="0" w:color="CCCCCC"/>
              <w:right w:val="single" w:sz="2" w:space="0" w:color="CCCCCC"/>
            </w:tcBorders>
            <w:shd w:fill="D6EAF8" w:val="clear"/>
          </w:tcPr>
          <w:p>
            <w:pPr>
              <w:pStyle w:val="Normal"/>
              <w:rPr/>
            </w:pPr>
            <w:r>
              <w:rPr>
                <w:rFonts w:eastAsia="Arial" w:cs="Arial"/>
                <w:b/>
                <w:bCs/>
                <w:color w:val="1A3A5C"/>
                <w:sz w:val="20"/>
                <w:szCs w:val="20"/>
              </w:rPr>
              <w:t>Applies To</w:t>
            </w:r>
          </w:p>
        </w:tc>
        <w:tc>
          <w:tcPr>
            <w:tcW w:w="73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Cybersecurity analysts, compliance officers, GRC teams, and IT auditors</w:t>
            </w:r>
          </w:p>
        </w:tc>
      </w:tr>
      <w:tr>
        <w:trPr/>
        <w:tc>
          <w:tcPr>
            <w:tcW w:w="2000" w:type="dxa"/>
            <w:tcBorders>
              <w:top w:val="single" w:sz="2" w:space="0" w:color="CCCCCC"/>
              <w:left w:val="single" w:sz="2" w:space="0" w:color="CCCCCC"/>
              <w:bottom w:val="single" w:sz="2" w:space="0" w:color="CCCCCC"/>
              <w:right w:val="single" w:sz="2" w:space="0" w:color="CCCCCC"/>
            </w:tcBorders>
            <w:shd w:fill="D6EAF8" w:val="clear"/>
          </w:tcPr>
          <w:p>
            <w:pPr>
              <w:pStyle w:val="Normal"/>
              <w:rPr/>
            </w:pPr>
            <w:r>
              <w:rPr>
                <w:rFonts w:eastAsia="Arial" w:cs="Arial"/>
                <w:b/>
                <w:bCs/>
                <w:color w:val="1A3A5C"/>
                <w:sz w:val="20"/>
                <w:szCs w:val="20"/>
              </w:rPr>
              <w:t>Tool Location</w:t>
            </w:r>
          </w:p>
        </w:tc>
        <w:tc>
          <w:tcPr>
            <w:tcW w:w="73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Claude Project: Compliance Tools (claude.ai/projects)</w:t>
            </w:r>
          </w:p>
        </w:tc>
      </w:tr>
      <w:tr>
        <w:trPr/>
        <w:tc>
          <w:tcPr>
            <w:tcW w:w="2000" w:type="dxa"/>
            <w:tcBorders>
              <w:top w:val="single" w:sz="2" w:space="0" w:color="CCCCCC"/>
              <w:left w:val="single" w:sz="2" w:space="0" w:color="CCCCCC"/>
              <w:bottom w:val="single" w:sz="2" w:space="0" w:color="CCCCCC"/>
              <w:right w:val="single" w:sz="2" w:space="0" w:color="CCCCCC"/>
            </w:tcBorders>
            <w:shd w:fill="D6EAF8" w:val="clear"/>
          </w:tcPr>
          <w:p>
            <w:pPr>
              <w:pStyle w:val="Normal"/>
              <w:rPr/>
            </w:pPr>
            <w:r>
              <w:rPr>
                <w:rFonts w:eastAsia="Arial" w:cs="Arial"/>
                <w:b/>
                <w:bCs/>
                <w:color w:val="1A3A5C"/>
                <w:sz w:val="20"/>
                <w:szCs w:val="20"/>
              </w:rPr>
              <w:t>Standard</w:t>
            </w:r>
          </w:p>
        </w:tc>
        <w:tc>
          <w:tcPr>
            <w:tcW w:w="73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NIST SP 800-53 Rev 5 — Security and Privacy Controls</w:t>
            </w:r>
          </w:p>
        </w:tc>
      </w:tr>
      <w:tr>
        <w:trPr/>
        <w:tc>
          <w:tcPr>
            <w:tcW w:w="2000" w:type="dxa"/>
            <w:tcBorders>
              <w:top w:val="single" w:sz="2" w:space="0" w:color="CCCCCC"/>
              <w:left w:val="single" w:sz="2" w:space="0" w:color="CCCCCC"/>
              <w:bottom w:val="single" w:sz="2" w:space="0" w:color="CCCCCC"/>
              <w:right w:val="single" w:sz="2" w:space="0" w:color="CCCCCC"/>
            </w:tcBorders>
            <w:shd w:fill="D6EAF8" w:val="clear"/>
          </w:tcPr>
          <w:p>
            <w:pPr>
              <w:pStyle w:val="Normal"/>
              <w:rPr/>
            </w:pPr>
            <w:r>
              <w:rPr>
                <w:rFonts w:eastAsia="Arial" w:cs="Arial"/>
                <w:b/>
                <w:bCs/>
                <w:color w:val="1A3A5C"/>
                <w:sz w:val="20"/>
                <w:szCs w:val="20"/>
              </w:rPr>
              <w:t>Prerequisites</w:t>
            </w:r>
          </w:p>
        </w:tc>
        <w:tc>
          <w:tcPr>
            <w:tcW w:w="7359" w:type="dxa"/>
            <w:tcBorders>
              <w:top w:val="single" w:sz="2" w:space="0" w:color="CCCCCC"/>
              <w:left w:val="single" w:sz="2" w:space="0" w:color="CCCCCC"/>
              <w:bottom w:val="single" w:sz="2" w:space="0" w:color="CCCCCC"/>
              <w:right w:val="single" w:sz="2" w:space="0" w:color="CCCCCC"/>
            </w:tcBorders>
          </w:tcPr>
          <w:p>
            <w:pPr>
              <w:pStyle w:val="Normal"/>
              <w:rPr/>
            </w:pPr>
            <w:r>
              <w:rPr>
                <w:rFonts w:eastAsia="Arial" w:cs="Arial"/>
                <w:sz w:val="20"/>
                <w:szCs w:val="20"/>
              </w:rPr>
              <w:t>Active Claude Pro or Team account with Projects access</w:t>
            </w:r>
          </w:p>
        </w:tc>
      </w:tr>
    </w:tbl>
    <w:p>
      <w:pPr>
        <w:pStyle w:val="Normal"/>
        <w:spacing w:before="80" w:after="0"/>
        <w:rPr/>
      </w:pPr>
      <w:r>
        <w:rPr/>
      </w:r>
    </w:p>
    <w:p>
      <w:pPr>
        <w:pStyle w:val="Normal"/>
        <w:pBdr>
          <w:bottom w:val="single" w:sz="4" w:space="1" w:color="CCCCCC"/>
        </w:pBdr>
        <w:spacing w:before="160" w:after="160"/>
        <w:rPr/>
      </w:pPr>
      <w:r>
        <w:rPr/>
      </w:r>
    </w:p>
    <w:p>
      <w:pPr>
        <w:pStyle w:val="Heading1"/>
        <w:spacing w:before="320" w:after="160"/>
        <w:rPr/>
      </w:pPr>
      <w:r>
        <w:rPr>
          <w:rFonts w:eastAsia="Arial" w:cs="Arial" w:ascii="Arial" w:hAnsi="Arial"/>
          <w:b/>
          <w:bCs/>
          <w:color w:val="1A3A5C"/>
          <w:sz w:val="32"/>
          <w:szCs w:val="32"/>
        </w:rPr>
        <w:t>2. Storing the Tool Inside a Claude Project</w:t>
      </w:r>
    </w:p>
    <w:p>
      <w:pPr>
        <w:pStyle w:val="Normal"/>
        <w:spacing w:before="80" w:after="80"/>
        <w:rPr/>
      </w:pPr>
      <w:r>
        <w:rPr>
          <w:rFonts w:eastAsia="Arial" w:cs="Arial"/>
          <w:sz w:val="22"/>
          <w:szCs w:val="22"/>
        </w:rPr>
        <w:t>A Claude Project is the correct and recommended way to preserve this analyzer between sessions. Follow the steps below exactly.</w:t>
      </w:r>
    </w:p>
    <w:p>
      <w:pPr>
        <w:pStyle w:val="Normal"/>
        <w:spacing w:before="40" w:after="0"/>
        <w:rPr/>
      </w:pPr>
      <w:r>
        <w:rPr/>
      </w:r>
    </w:p>
    <w:p>
      <w:pPr>
        <w:pStyle w:val="Heading2"/>
        <w:spacing w:before="240" w:after="120"/>
        <w:rPr/>
      </w:pPr>
      <w:r>
        <w:rPr>
          <w:rFonts w:eastAsia="Arial" w:cs="Arial" w:ascii="Arial" w:hAnsi="Arial"/>
          <w:b/>
          <w:bCs/>
          <w:color w:val="1A5276"/>
          <w:sz w:val="26"/>
          <w:szCs w:val="26"/>
        </w:rPr>
        <w:t>2.1  Create or open a Claude Project</w:t>
      </w:r>
    </w:p>
    <w:p>
      <w:pPr>
        <w:pStyle w:val="ListParagraph"/>
        <w:numPr>
          <w:ilvl w:val="0"/>
          <w:numId w:val="4"/>
        </w:numPr>
        <w:spacing w:before="60" w:after="60"/>
        <w:rPr/>
      </w:pPr>
      <w:r>
        <w:rPr>
          <w:rFonts w:eastAsia="Arial" w:cs="Arial"/>
          <w:sz w:val="22"/>
          <w:szCs w:val="22"/>
        </w:rPr>
        <w:t>Go to claude.ai and sign in to your Pro or Team account.</w:t>
      </w:r>
    </w:p>
    <w:p>
      <w:pPr>
        <w:pStyle w:val="ListParagraph"/>
        <w:numPr>
          <w:ilvl w:val="0"/>
          <w:numId w:val="1"/>
        </w:numPr>
        <w:spacing w:before="60" w:after="60"/>
        <w:rPr/>
      </w:pPr>
      <w:r>
        <w:rPr>
          <w:rFonts w:eastAsia="Arial" w:cs="Arial"/>
          <w:sz w:val="22"/>
          <w:szCs w:val="22"/>
        </w:rPr>
        <w:t>In the left sidebar, click Projects, then select New Project or open an existing compliance project.</w:t>
      </w:r>
    </w:p>
    <w:p>
      <w:pPr>
        <w:pStyle w:val="ListParagraph"/>
        <w:numPr>
          <w:ilvl w:val="0"/>
          <w:numId w:val="1"/>
        </w:numPr>
        <w:spacing w:before="60" w:after="60"/>
        <w:rPr/>
      </w:pPr>
      <w:r>
        <w:rPr>
          <w:rFonts w:eastAsia="Arial" w:cs="Arial"/>
          <w:sz w:val="22"/>
          <w:szCs w:val="22"/>
        </w:rPr>
        <w:t>Name the project clearly, e.g., Compliance Tools or NIST Gap Analyzer.</w:t>
      </w:r>
    </w:p>
    <w:p>
      <w:pPr>
        <w:pStyle w:val="Normal"/>
        <w:spacing w:before="40" w:after="0"/>
        <w:rPr/>
      </w:pPr>
      <w:r>
        <w:rPr/>
      </w:r>
    </w:p>
    <w:p>
      <w:pPr>
        <w:pStyle w:val="Heading2"/>
        <w:spacing w:before="240" w:after="120"/>
        <w:rPr/>
      </w:pPr>
      <w:r>
        <w:rPr>
          <w:rFonts w:eastAsia="Arial" w:cs="Arial" w:ascii="Arial" w:hAnsi="Arial"/>
          <w:b/>
          <w:bCs/>
          <w:color w:val="1A5276"/>
          <w:sz w:val="26"/>
          <w:szCs w:val="26"/>
        </w:rPr>
        <w:t>2.2  Save the analyzer artifact to the project</w:t>
      </w:r>
    </w:p>
    <w:p>
      <w:pPr>
        <w:pStyle w:val="ListParagraph"/>
        <w:numPr>
          <w:ilvl w:val="0"/>
          <w:numId w:val="1"/>
        </w:numPr>
        <w:spacing w:before="60" w:after="60"/>
        <w:rPr/>
      </w:pPr>
      <w:r>
        <w:rPr>
          <w:rFonts w:eastAsia="Arial" w:cs="Arial"/>
          <w:sz w:val="22"/>
          <w:szCs w:val="22"/>
        </w:rPr>
        <w:t>Open the conversation containing the Policy Gap Analyzer tool (this chat).</w:t>
      </w:r>
    </w:p>
    <w:p>
      <w:pPr>
        <w:pStyle w:val="ListParagraph"/>
        <w:numPr>
          <w:ilvl w:val="0"/>
          <w:numId w:val="1"/>
        </w:numPr>
        <w:spacing w:before="60" w:after="60"/>
        <w:rPr/>
      </w:pPr>
      <w:r>
        <w:rPr>
          <w:rFonts w:eastAsia="Arial" w:cs="Arial"/>
          <w:sz w:val="22"/>
          <w:szCs w:val="22"/>
        </w:rPr>
        <w:t>In the artifact panel, click the three-dot menu on the analyzer widget and select Add to Project, or copy the full artifact code.</w:t>
      </w:r>
    </w:p>
    <w:p>
      <w:pPr>
        <w:pStyle w:val="ListParagraph"/>
        <w:numPr>
          <w:ilvl w:val="0"/>
          <w:numId w:val="1"/>
        </w:numPr>
        <w:spacing w:before="60" w:after="60"/>
        <w:rPr/>
      </w:pPr>
      <w:r>
        <w:rPr>
          <w:rFonts w:eastAsia="Arial" w:cs="Arial"/>
          <w:sz w:val="22"/>
          <w:szCs w:val="22"/>
        </w:rPr>
        <w:t>If copying manually: open your project, start a new conversation, and paste the artifact code with the instruction: Restore this artifact as a Claude Project tool.</w:t>
      </w:r>
    </w:p>
    <w:p>
      <w:pPr>
        <w:pStyle w:val="ListParagraph"/>
        <w:numPr>
          <w:ilvl w:val="0"/>
          <w:numId w:val="1"/>
        </w:numPr>
        <w:spacing w:before="60" w:after="60"/>
        <w:rPr/>
      </w:pPr>
      <w:r>
        <w:rPr>
          <w:rFonts w:eastAsia="Arial" w:cs="Arial"/>
          <w:sz w:val="22"/>
          <w:szCs w:val="22"/>
        </w:rPr>
        <w:t>Verify the artifact renders correctly by clicking Run gap analysis on the demo policy.</w:t>
      </w:r>
    </w:p>
    <w:p>
      <w:pPr>
        <w:pStyle w:val="Normal"/>
        <w:spacing w:before="40" w:after="0"/>
        <w:rPr/>
      </w:pPr>
      <w:r>
        <w:rPr/>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1A5276"/>
              <w:left w:val="single" w:sz="2" w:space="0" w:color="1A5276"/>
              <w:bottom w:val="single" w:sz="2" w:space="0" w:color="1A5276"/>
              <w:right w:val="single" w:sz="2" w:space="0" w:color="1A5276"/>
            </w:tcBorders>
            <w:shd w:fill="FFF8DC" w:val="clear"/>
          </w:tcPr>
          <w:p>
            <w:pPr>
              <w:pStyle w:val="Normal"/>
              <w:spacing w:before="0" w:after="60"/>
              <w:rPr/>
            </w:pPr>
            <w:r>
              <w:rPr>
                <w:rFonts w:eastAsia="Arial" w:cs="Arial"/>
                <w:b/>
                <w:bCs/>
                <w:color w:val="1A3A5C"/>
                <w:sz w:val="20"/>
                <w:szCs w:val="20"/>
              </w:rPr>
              <w:t>Important — what Projects stores and what it does not store</w:t>
            </w:r>
          </w:p>
          <w:p>
            <w:pPr>
              <w:pStyle w:val="Normal"/>
              <w:rPr/>
            </w:pPr>
            <w:r>
              <w:rPr>
                <w:rFonts w:eastAsia="Arial" w:cs="Arial"/>
                <w:color w:val="333333"/>
                <w:sz w:val="20"/>
                <w:szCs w:val="20"/>
              </w:rPr>
              <w:t>Claude Projects stores: the system prompt, uploaded reference files, and artifact code added to the project knowledge. It does NOT automatically store analysis results between sessions. Always export your Gap Report artifacts (MD, JSON, CSV) after each analysis run and store them in your organization's document management system.</w:t>
            </w:r>
          </w:p>
        </w:tc>
      </w:tr>
    </w:tbl>
    <w:p>
      <w:pPr>
        <w:pStyle w:val="Normal"/>
        <w:spacing w:before="80" w:after="0"/>
        <w:rPr/>
      </w:pPr>
      <w:r>
        <w:rPr/>
      </w:r>
    </w:p>
    <w:p>
      <w:pPr>
        <w:pStyle w:val="Heading2"/>
        <w:spacing w:before="240" w:after="120"/>
        <w:rPr/>
      </w:pPr>
      <w:r>
        <w:rPr>
          <w:rFonts w:eastAsia="Arial" w:cs="Arial" w:ascii="Arial" w:hAnsi="Arial"/>
          <w:b/>
          <w:bCs/>
          <w:color w:val="1A5276"/>
          <w:sz w:val="26"/>
          <w:szCs w:val="26"/>
        </w:rPr>
        <w:t>2.3  Add this SOP as project knowledge</w:t>
      </w:r>
    </w:p>
    <w:p>
      <w:pPr>
        <w:pStyle w:val="ListParagraph"/>
        <w:numPr>
          <w:ilvl w:val="0"/>
          <w:numId w:val="1"/>
        </w:numPr>
        <w:spacing w:before="60" w:after="60"/>
        <w:rPr/>
      </w:pPr>
      <w:r>
        <w:rPr>
          <w:rFonts w:eastAsia="Arial" w:cs="Arial"/>
          <w:sz w:val="22"/>
          <w:szCs w:val="22"/>
        </w:rPr>
        <w:t>In your Claude Project, click Project knowledge or Add content.</w:t>
      </w:r>
    </w:p>
    <w:p>
      <w:pPr>
        <w:pStyle w:val="ListParagraph"/>
        <w:numPr>
          <w:ilvl w:val="0"/>
          <w:numId w:val="1"/>
        </w:numPr>
        <w:spacing w:before="60" w:after="60"/>
        <w:rPr/>
      </w:pPr>
      <w:r>
        <w:rPr>
          <w:rFonts w:eastAsia="Arial" w:cs="Arial"/>
          <w:sz w:val="22"/>
          <w:szCs w:val="22"/>
        </w:rPr>
        <w:t>Upload this SOP document (PDF or DOCX) so it is available as reference context in every conversation within the project.</w:t>
      </w:r>
    </w:p>
    <w:p>
      <w:pPr>
        <w:pStyle w:val="ListParagraph"/>
        <w:numPr>
          <w:ilvl w:val="0"/>
          <w:numId w:val="1"/>
        </w:numPr>
        <w:spacing w:before="60" w:after="60"/>
        <w:rPr/>
      </w:pPr>
      <w:r>
        <w:rPr>
          <w:rFonts w:eastAsia="Arial" w:cs="Arial"/>
          <w:sz w:val="22"/>
          <w:szCs w:val="22"/>
        </w:rPr>
        <w:t>Add a project system prompt that includes: You are a NIST 800-53 compliance analyst assistant. The Policy Gap Analyzer tool is active in this project. Always follow SOP-CYBER-001 when conducting gap analyses.</w:t>
      </w:r>
    </w:p>
    <w:p>
      <w:pPr>
        <w:pStyle w:val="Normal"/>
        <w:spacing w:before="80" w:after="0"/>
        <w:rPr/>
      </w:pPr>
      <w:r>
        <w:rPr/>
      </w:r>
    </w:p>
    <w:p>
      <w:pPr>
        <w:pStyle w:val="Normal"/>
        <w:pBdr>
          <w:bottom w:val="single" w:sz="4" w:space="1" w:color="CCCCCC"/>
        </w:pBdr>
        <w:spacing w:before="160" w:after="160"/>
        <w:rPr/>
      </w:pPr>
      <w:r>
        <w:rPr/>
      </w:r>
    </w:p>
    <w:p>
      <w:pPr>
        <w:pStyle w:val="Heading1"/>
        <w:spacing w:before="320" w:after="160"/>
        <w:rPr/>
      </w:pPr>
      <w:r>
        <w:rPr>
          <w:rFonts w:eastAsia="Arial" w:cs="Arial" w:ascii="Arial" w:hAnsi="Arial"/>
          <w:b/>
          <w:bCs/>
          <w:color w:val="1A3A5C"/>
          <w:sz w:val="32"/>
          <w:szCs w:val="32"/>
        </w:rPr>
        <w:t>3. Step-by-Step Usage Procedure</w:t>
      </w:r>
    </w:p>
    <w:p>
      <w:pPr>
        <w:pStyle w:val="Heading2"/>
        <w:spacing w:before="240" w:after="120"/>
        <w:rPr/>
      </w:pPr>
      <w:r>
        <w:rPr>
          <w:rFonts w:eastAsia="Arial" w:cs="Arial" w:ascii="Arial" w:hAnsi="Arial"/>
          <w:b/>
          <w:bCs/>
          <w:color w:val="1A5276"/>
          <w:sz w:val="26"/>
          <w:szCs w:val="26"/>
        </w:rPr>
        <w:t>Step 1 — Prepare your policy document</w:t>
      </w:r>
    </w:p>
    <w:p>
      <w:pPr>
        <w:pStyle w:val="ListParagraph"/>
        <w:numPr>
          <w:ilvl w:val="0"/>
          <w:numId w:val="1"/>
        </w:numPr>
        <w:spacing w:before="60" w:after="60"/>
        <w:rPr/>
      </w:pPr>
      <w:r>
        <w:rPr>
          <w:rFonts w:eastAsia="Arial" w:cs="Arial"/>
          <w:sz w:val="22"/>
          <w:szCs w:val="22"/>
        </w:rPr>
        <w:t>Locate the internal policy document to be analyzed (Access Control, IR, CM, etc.).</w:t>
      </w:r>
    </w:p>
    <w:p>
      <w:pPr>
        <w:pStyle w:val="ListParagraph"/>
        <w:numPr>
          <w:ilvl w:val="0"/>
          <w:numId w:val="1"/>
        </w:numPr>
        <w:spacing w:before="60" w:after="60"/>
        <w:rPr/>
      </w:pPr>
      <w:r>
        <w:rPr>
          <w:rFonts w:eastAsia="Arial" w:cs="Arial"/>
          <w:sz w:val="22"/>
          <w:szCs w:val="22"/>
        </w:rPr>
        <w:t>Convert to plain text if in DOCX or PDF format. Paste the full text content — do not paste file attachments into the analyzer directly.</w:t>
      </w:r>
    </w:p>
    <w:p>
      <w:pPr>
        <w:pStyle w:val="ListParagraph"/>
        <w:numPr>
          <w:ilvl w:val="0"/>
          <w:numId w:val="1"/>
        </w:numPr>
        <w:spacing w:before="60" w:after="60"/>
        <w:rPr/>
      </w:pPr>
      <w:r>
        <w:rPr>
          <w:rFonts w:eastAsia="Arial" w:cs="Arial"/>
          <w:sz w:val="22"/>
          <w:szCs w:val="22"/>
        </w:rPr>
        <w:t>Remove any personally identifiable information (PII) or classified markings not intended for AI processing before pasting.</w:t>
      </w:r>
    </w:p>
    <w:p>
      <w:pPr>
        <w:pStyle w:val="Normal"/>
        <w:spacing w:before="60" w:after="0"/>
        <w:rPr/>
      </w:pPr>
      <w:r>
        <w:rPr/>
      </w:r>
    </w:p>
    <w:p>
      <w:pPr>
        <w:pStyle w:val="Heading2"/>
        <w:spacing w:before="240" w:after="120"/>
        <w:rPr/>
      </w:pPr>
      <w:r>
        <w:rPr>
          <w:rFonts w:eastAsia="Arial" w:cs="Arial" w:ascii="Arial" w:hAnsi="Arial"/>
          <w:b/>
          <w:bCs/>
          <w:color w:val="1A5276"/>
          <w:sz w:val="26"/>
          <w:szCs w:val="26"/>
        </w:rPr>
        <w:t>Step 2 — Configure the analysis</w:t>
      </w:r>
    </w:p>
    <w:p>
      <w:pPr>
        <w:pStyle w:val="ListParagraph"/>
        <w:numPr>
          <w:ilvl w:val="0"/>
          <w:numId w:val="1"/>
        </w:numPr>
        <w:spacing w:before="60" w:after="60"/>
        <w:rPr/>
      </w:pPr>
      <w:r>
        <w:rPr>
          <w:rFonts w:eastAsia="Arial" w:cs="Arial"/>
          <w:sz w:val="22"/>
          <w:szCs w:val="22"/>
        </w:rPr>
        <w:t>Open the Policy Gap Analyzer artifact in your Claude Project.</w:t>
      </w:r>
    </w:p>
    <w:p>
      <w:pPr>
        <w:pStyle w:val="ListParagraph"/>
        <w:numPr>
          <w:ilvl w:val="0"/>
          <w:numId w:val="1"/>
        </w:numPr>
        <w:spacing w:before="60" w:after="60"/>
        <w:rPr/>
      </w:pPr>
      <w:r>
        <w:rPr>
          <w:rFonts w:eastAsia="Arial" w:cs="Arial"/>
          <w:sz w:val="22"/>
          <w:szCs w:val="22"/>
        </w:rPr>
        <w:t>In the Control family focus dropdown, select the relevant NIST family. If analyzing a complete policy, leave All families selected.</w:t>
      </w:r>
    </w:p>
    <w:p>
      <w:pPr>
        <w:pStyle w:val="ListParagraph"/>
        <w:numPr>
          <w:ilvl w:val="0"/>
          <w:numId w:val="1"/>
        </w:numPr>
        <w:spacing w:before="60" w:after="60"/>
        <w:rPr/>
      </w:pPr>
      <w:r>
        <w:rPr>
          <w:rFonts w:eastAsia="Arial" w:cs="Arial"/>
          <w:sz w:val="22"/>
          <w:szCs w:val="22"/>
        </w:rPr>
        <w:t>Select Analysis depth based on your time and reporting needs:</w:t>
      </w:r>
    </w:p>
    <w:p>
      <w:pPr>
        <w:pStyle w:val="ListParagraph"/>
        <w:numPr>
          <w:ilvl w:val="1"/>
          <w:numId w:val="2"/>
        </w:numPr>
        <w:spacing w:before="40" w:after="40"/>
        <w:rPr/>
      </w:pPr>
      <w:r>
        <w:rPr>
          <w:rFonts w:eastAsia="Arial" w:cs="Arial"/>
          <w:sz w:val="22"/>
          <w:szCs w:val="22"/>
        </w:rPr>
        <w:t>Quick scan: Evaluates every other control — suitable for preliminary assessments.</w:t>
      </w:r>
    </w:p>
    <w:p>
      <w:pPr>
        <w:pStyle w:val="ListParagraph"/>
        <w:numPr>
          <w:ilvl w:val="1"/>
          <w:numId w:val="2"/>
        </w:numPr>
        <w:spacing w:before="40" w:after="40"/>
        <w:rPr/>
      </w:pPr>
      <w:r>
        <w:rPr>
          <w:rFonts w:eastAsia="Arial" w:cs="Arial"/>
          <w:sz w:val="22"/>
          <w:szCs w:val="22"/>
        </w:rPr>
        <w:t>Full cross-check: Evaluates all controls — required for formal compliance reports.</w:t>
      </w:r>
    </w:p>
    <w:p>
      <w:pPr>
        <w:pStyle w:val="Normal"/>
        <w:spacing w:before="60" w:after="0"/>
        <w:rPr/>
      </w:pPr>
      <w:r>
        <w:rPr/>
      </w:r>
    </w:p>
    <w:p>
      <w:pPr>
        <w:pStyle w:val="Heading2"/>
        <w:spacing w:before="240" w:after="120"/>
        <w:rPr/>
      </w:pPr>
      <w:r>
        <w:rPr>
          <w:rFonts w:eastAsia="Arial" w:cs="Arial" w:ascii="Arial" w:hAnsi="Arial"/>
          <w:b/>
          <w:bCs/>
          <w:color w:val="1A5276"/>
          <w:sz w:val="26"/>
          <w:szCs w:val="26"/>
        </w:rPr>
        <w:t>Step 3 — Run the analysis</w:t>
      </w:r>
    </w:p>
    <w:p>
      <w:pPr>
        <w:pStyle w:val="ListParagraph"/>
        <w:numPr>
          <w:ilvl w:val="0"/>
          <w:numId w:val="1"/>
        </w:numPr>
        <w:spacing w:before="60" w:after="60"/>
        <w:rPr/>
      </w:pPr>
      <w:r>
        <w:rPr>
          <w:rFonts w:eastAsia="Arial" w:cs="Arial"/>
          <w:sz w:val="22"/>
          <w:szCs w:val="22"/>
        </w:rPr>
        <w:t>Paste your policy text into the text area.</w:t>
      </w:r>
    </w:p>
    <w:p>
      <w:pPr>
        <w:pStyle w:val="ListParagraph"/>
        <w:numPr>
          <w:ilvl w:val="0"/>
          <w:numId w:val="1"/>
        </w:numPr>
        <w:spacing w:before="60" w:after="60"/>
        <w:rPr/>
      </w:pPr>
      <w:r>
        <w:rPr>
          <w:rFonts w:eastAsia="Arial" w:cs="Arial"/>
          <w:sz w:val="22"/>
          <w:szCs w:val="22"/>
        </w:rPr>
        <w:t>Click Run gap analysis. The tool processes entirely offline with no data transmission.</w:t>
      </w:r>
    </w:p>
    <w:p>
      <w:pPr>
        <w:pStyle w:val="ListParagraph"/>
        <w:numPr>
          <w:ilvl w:val="0"/>
          <w:numId w:val="1"/>
        </w:numPr>
        <w:spacing w:before="60" w:after="60"/>
        <w:rPr/>
      </w:pPr>
      <w:r>
        <w:rPr>
          <w:rFonts w:eastAsia="Arial" w:cs="Arial"/>
          <w:sz w:val="22"/>
          <w:szCs w:val="22"/>
        </w:rPr>
        <w:t>Wait for the analysis to complete. Results appear in three tabs: Detailed controls, Narrative summary, and Export.</w:t>
      </w:r>
    </w:p>
    <w:p>
      <w:pPr>
        <w:pStyle w:val="Normal"/>
        <w:spacing w:before="60" w:after="0"/>
        <w:rPr/>
      </w:pPr>
      <w:r>
        <w:rPr/>
      </w:r>
    </w:p>
    <w:p>
      <w:pPr>
        <w:pStyle w:val="Heading2"/>
        <w:spacing w:before="240" w:after="120"/>
        <w:rPr/>
      </w:pPr>
      <w:r>
        <w:rPr>
          <w:rFonts w:eastAsia="Arial" w:cs="Arial" w:ascii="Arial" w:hAnsi="Arial"/>
          <w:b/>
          <w:bCs/>
          <w:color w:val="1A5276"/>
          <w:sz w:val="26"/>
          <w:szCs w:val="26"/>
        </w:rPr>
        <w:t>Step 4 — Review and validate results</w:t>
      </w:r>
    </w:p>
    <w:p>
      <w:pPr>
        <w:pStyle w:val="ListParagraph"/>
        <w:numPr>
          <w:ilvl w:val="0"/>
          <w:numId w:val="1"/>
        </w:numPr>
        <w:spacing w:before="60" w:after="60"/>
        <w:rPr/>
      </w:pPr>
      <w:r>
        <w:rPr>
          <w:rFonts w:eastAsia="Arial" w:cs="Arial"/>
          <w:sz w:val="22"/>
          <w:szCs w:val="22"/>
        </w:rPr>
        <w:t>Review the Detailed controls tab. For each control marked Partial or Not addressed, read the analyst comment and evidence quote.</w:t>
      </w:r>
    </w:p>
    <w:p>
      <w:pPr>
        <w:pStyle w:val="ListParagraph"/>
        <w:numPr>
          <w:ilvl w:val="0"/>
          <w:numId w:val="1"/>
        </w:numPr>
        <w:spacing w:before="60" w:after="60"/>
        <w:rPr/>
      </w:pPr>
      <w:r>
        <w:rPr>
          <w:rFonts w:eastAsia="Arial" w:cs="Arial"/>
          <w:sz w:val="22"/>
          <w:szCs w:val="22"/>
        </w:rPr>
        <w:t>Manually verify at least 10% of Implemented findings to confirm keyword matching accuracy.</w:t>
      </w:r>
    </w:p>
    <w:p>
      <w:pPr>
        <w:pStyle w:val="ListParagraph"/>
        <w:numPr>
          <w:ilvl w:val="0"/>
          <w:numId w:val="1"/>
        </w:numPr>
        <w:spacing w:before="60" w:after="60"/>
        <w:rPr/>
      </w:pPr>
      <w:r>
        <w:rPr>
          <w:rFonts w:eastAsia="Arial" w:cs="Arial"/>
          <w:sz w:val="22"/>
          <w:szCs w:val="22"/>
        </w:rPr>
        <w:t>Use the Narrative summary tab to draft executive-level findings.</w:t>
      </w:r>
    </w:p>
    <w:p>
      <w:pPr>
        <w:pStyle w:val="Normal"/>
        <w:spacing w:before="60" w:after="0"/>
        <w:rPr/>
      </w:pPr>
      <w:r>
        <w:rPr/>
      </w:r>
    </w:p>
    <w:p>
      <w:pPr>
        <w:pStyle w:val="Heading2"/>
        <w:spacing w:before="240" w:after="120"/>
        <w:rPr/>
      </w:pPr>
      <w:r>
        <w:rPr>
          <w:rFonts w:eastAsia="Arial" w:cs="Arial" w:ascii="Arial" w:hAnsi="Arial"/>
          <w:b/>
          <w:bCs/>
          <w:color w:val="1A5276"/>
          <w:sz w:val="26"/>
          <w:szCs w:val="26"/>
        </w:rPr>
        <w:t>Step 5 — Export report artifacts</w:t>
      </w:r>
    </w:p>
    <w:tbl>
      <w:tblPr>
        <w:tblW w:w="9360" w:type="dxa"/>
        <w:jc w:val="left"/>
        <w:tblInd w:w="0" w:type="dxa"/>
        <w:tblLayout w:type="fixed"/>
        <w:tblCellMar>
          <w:top w:w="100" w:type="dxa"/>
          <w:left w:w="140" w:type="dxa"/>
          <w:bottom w:w="100" w:type="dxa"/>
          <w:right w:w="140" w:type="dxa"/>
        </w:tblCellMar>
      </w:tblPr>
      <w:tblGrid>
        <w:gridCol w:w="3399"/>
        <w:gridCol w:w="3601"/>
        <w:gridCol w:w="2360"/>
      </w:tblGrid>
      <w:tr>
        <w:trPr>
          <w:tblHeader w:val="true"/>
        </w:trPr>
        <w:tc>
          <w:tcPr>
            <w:tcW w:w="3399" w:type="dxa"/>
            <w:tcBorders>
              <w:top w:val="single" w:sz="2" w:space="0" w:color="1A5276"/>
              <w:left w:val="single" w:sz="2" w:space="0" w:color="1A5276"/>
              <w:bottom w:val="single" w:sz="2" w:space="0" w:color="1A5276"/>
              <w:right w:val="single" w:sz="2" w:space="0" w:color="1A5276"/>
            </w:tcBorders>
            <w:shd w:fill="1A5276" w:val="clear"/>
          </w:tcPr>
          <w:p>
            <w:pPr>
              <w:pStyle w:val="Normal"/>
              <w:rPr/>
            </w:pPr>
            <w:r>
              <w:rPr>
                <w:rFonts w:eastAsia="Arial" w:cs="Arial"/>
                <w:b/>
                <w:bCs/>
                <w:color w:val="FFFFFF"/>
                <w:sz w:val="20"/>
                <w:szCs w:val="20"/>
              </w:rPr>
              <w:t>File</w:t>
            </w:r>
          </w:p>
        </w:tc>
        <w:tc>
          <w:tcPr>
            <w:tcW w:w="3601" w:type="dxa"/>
            <w:tcBorders>
              <w:top w:val="single" w:sz="2" w:space="0" w:color="1A5276"/>
              <w:left w:val="single" w:sz="2" w:space="0" w:color="1A5276"/>
              <w:bottom w:val="single" w:sz="2" w:space="0" w:color="1A5276"/>
              <w:right w:val="single" w:sz="2" w:space="0" w:color="1A5276"/>
            </w:tcBorders>
            <w:shd w:fill="1A5276" w:val="clear"/>
          </w:tcPr>
          <w:p>
            <w:pPr>
              <w:pStyle w:val="Normal"/>
              <w:rPr/>
            </w:pPr>
            <w:r>
              <w:rPr>
                <w:rFonts w:eastAsia="Arial" w:cs="Arial"/>
                <w:b/>
                <w:bCs/>
                <w:color w:val="FFFFFF"/>
                <w:sz w:val="20"/>
                <w:szCs w:val="20"/>
              </w:rPr>
              <w:t>Purpose</w:t>
            </w:r>
          </w:p>
        </w:tc>
        <w:tc>
          <w:tcPr>
            <w:tcW w:w="2360" w:type="dxa"/>
            <w:tcBorders>
              <w:top w:val="single" w:sz="2" w:space="0" w:color="1A5276"/>
              <w:left w:val="single" w:sz="2" w:space="0" w:color="1A5276"/>
              <w:bottom w:val="single" w:sz="2" w:space="0" w:color="1A5276"/>
              <w:right w:val="single" w:sz="2" w:space="0" w:color="1A5276"/>
            </w:tcBorders>
            <w:shd w:fill="1A5276" w:val="clear"/>
          </w:tcPr>
          <w:p>
            <w:pPr>
              <w:pStyle w:val="Normal"/>
              <w:rPr/>
            </w:pPr>
            <w:r>
              <w:rPr>
                <w:rFonts w:eastAsia="Arial" w:cs="Arial"/>
                <w:b/>
                <w:bCs/>
                <w:color w:val="FFFFFF"/>
                <w:sz w:val="20"/>
                <w:szCs w:val="20"/>
              </w:rPr>
              <w:t>Primary Audience</w:t>
            </w:r>
          </w:p>
        </w:tc>
      </w:tr>
      <w:tr>
        <w:trPr/>
        <w:tc>
          <w:tcPr>
            <w:tcW w:w="3399" w:type="dxa"/>
            <w:tcBorders>
              <w:top w:val="single" w:sz="2" w:space="0" w:color="CCCCCC"/>
              <w:left w:val="single" w:sz="2" w:space="0" w:color="CCCCCC"/>
              <w:bottom w:val="single" w:sz="2" w:space="0" w:color="CCCCCC"/>
              <w:right w:val="single" w:sz="2" w:space="0" w:color="CCCCCC"/>
            </w:tcBorders>
            <w:shd w:fill="F4F9FF" w:val="clear"/>
          </w:tcPr>
          <w:p>
            <w:pPr>
              <w:pStyle w:val="Normal"/>
              <w:rPr/>
            </w:pPr>
            <w:r>
              <w:rPr>
                <w:rFonts w:eastAsia="Arial" w:cs="Arial"/>
                <w:sz w:val="20"/>
                <w:szCs w:val="20"/>
              </w:rPr>
              <w:t>NIST_800_53_Policy_Gap_Report.md</w:t>
            </w:r>
          </w:p>
        </w:tc>
        <w:tc>
          <w:tcPr>
            <w:tcW w:w="3601" w:type="dxa"/>
            <w:tcBorders>
              <w:top w:val="single" w:sz="2" w:space="0" w:color="CCCCCC"/>
              <w:left w:val="single" w:sz="2" w:space="0" w:color="CCCCCC"/>
              <w:bottom w:val="single" w:sz="2" w:space="0" w:color="CCCCCC"/>
              <w:right w:val="single" w:sz="2" w:space="0" w:color="CCCCCC"/>
            </w:tcBorders>
            <w:shd w:fill="F4F9FF" w:val="clear"/>
          </w:tcPr>
          <w:p>
            <w:pPr>
              <w:pStyle w:val="Normal"/>
              <w:rPr/>
            </w:pPr>
            <w:r>
              <w:rPr>
                <w:rFonts w:eastAsia="Arial" w:cs="Arial"/>
                <w:sz w:val="20"/>
                <w:szCs w:val="20"/>
              </w:rPr>
              <w:t>Human-readable Markdown report</w:t>
            </w:r>
          </w:p>
        </w:tc>
        <w:tc>
          <w:tcPr>
            <w:tcW w:w="2360" w:type="dxa"/>
            <w:tcBorders>
              <w:top w:val="single" w:sz="2" w:space="0" w:color="CCCCCC"/>
              <w:left w:val="single" w:sz="2" w:space="0" w:color="CCCCCC"/>
              <w:bottom w:val="single" w:sz="2" w:space="0" w:color="CCCCCC"/>
              <w:right w:val="single" w:sz="2" w:space="0" w:color="CCCCCC"/>
            </w:tcBorders>
            <w:shd w:fill="F4F9FF" w:val="clear"/>
          </w:tcPr>
          <w:p>
            <w:pPr>
              <w:pStyle w:val="Normal"/>
              <w:rPr/>
            </w:pPr>
            <w:r>
              <w:rPr>
                <w:rFonts w:eastAsia="Arial" w:cs="Arial"/>
                <w:sz w:val="20"/>
                <w:szCs w:val="20"/>
              </w:rPr>
              <w:t>Compliance managers, auditors</w:t>
            </w:r>
          </w:p>
        </w:tc>
      </w:tr>
      <w:tr>
        <w:trPr/>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Gap_Report_Data.json</w:t>
            </w:r>
          </w:p>
        </w:tc>
        <w:tc>
          <w:tcPr>
            <w:tcW w:w="36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Structured machine-readable export</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SIEM integration, automation pipelines</w:t>
            </w:r>
          </w:p>
        </w:tc>
      </w:tr>
      <w:tr>
        <w:trPr/>
        <w:tc>
          <w:tcPr>
            <w:tcW w:w="3399" w:type="dxa"/>
            <w:tcBorders>
              <w:top w:val="single" w:sz="2" w:space="0" w:color="CCCCCC"/>
              <w:left w:val="single" w:sz="2" w:space="0" w:color="CCCCCC"/>
              <w:bottom w:val="single" w:sz="2" w:space="0" w:color="CCCCCC"/>
              <w:right w:val="single" w:sz="2" w:space="0" w:color="CCCCCC"/>
            </w:tcBorders>
            <w:shd w:fill="F4F9FF" w:val="clear"/>
          </w:tcPr>
          <w:p>
            <w:pPr>
              <w:pStyle w:val="Normal"/>
              <w:rPr/>
            </w:pPr>
            <w:r>
              <w:rPr>
                <w:rFonts w:eastAsia="Arial" w:cs="Arial"/>
                <w:sz w:val="20"/>
                <w:szCs w:val="20"/>
              </w:rPr>
              <w:t>Remediation_Checklist.csv</w:t>
            </w:r>
          </w:p>
        </w:tc>
        <w:tc>
          <w:tcPr>
            <w:tcW w:w="3601" w:type="dxa"/>
            <w:tcBorders>
              <w:top w:val="single" w:sz="2" w:space="0" w:color="CCCCCC"/>
              <w:left w:val="single" w:sz="2" w:space="0" w:color="CCCCCC"/>
              <w:bottom w:val="single" w:sz="2" w:space="0" w:color="CCCCCC"/>
              <w:right w:val="single" w:sz="2" w:space="0" w:color="CCCCCC"/>
            </w:tcBorders>
            <w:shd w:fill="F4F9FF" w:val="clear"/>
          </w:tcPr>
          <w:p>
            <w:pPr>
              <w:pStyle w:val="Normal"/>
              <w:rPr/>
            </w:pPr>
            <w:r>
              <w:rPr>
                <w:rFonts w:eastAsia="Arial" w:cs="Arial"/>
                <w:sz w:val="20"/>
                <w:szCs w:val="20"/>
              </w:rPr>
              <w:t>Trackable action item list</w:t>
            </w:r>
          </w:p>
        </w:tc>
        <w:tc>
          <w:tcPr>
            <w:tcW w:w="2360" w:type="dxa"/>
            <w:tcBorders>
              <w:top w:val="single" w:sz="2" w:space="0" w:color="CCCCCC"/>
              <w:left w:val="single" w:sz="2" w:space="0" w:color="CCCCCC"/>
              <w:bottom w:val="single" w:sz="2" w:space="0" w:color="CCCCCC"/>
              <w:right w:val="single" w:sz="2" w:space="0" w:color="CCCCCC"/>
            </w:tcBorders>
            <w:shd w:fill="F4F9FF" w:val="clear"/>
          </w:tcPr>
          <w:p>
            <w:pPr>
              <w:pStyle w:val="Normal"/>
              <w:rPr/>
            </w:pPr>
            <w:r>
              <w:rPr>
                <w:rFonts w:eastAsia="Arial" w:cs="Arial"/>
                <w:sz w:val="20"/>
                <w:szCs w:val="20"/>
              </w:rPr>
              <w:t>Project managers, control owners</w:t>
            </w:r>
          </w:p>
        </w:tc>
      </w:tr>
    </w:tbl>
    <w:p>
      <w:pPr>
        <w:pStyle w:val="Normal"/>
        <w:spacing w:before="80" w:after="0"/>
        <w:rPr/>
      </w:pPr>
      <w:r>
        <w:rPr/>
      </w:r>
    </w:p>
    <w:p>
      <w:pPr>
        <w:pStyle w:val="ListParagraph"/>
        <w:numPr>
          <w:ilvl w:val="0"/>
          <w:numId w:val="1"/>
        </w:numPr>
        <w:spacing w:before="60" w:after="60"/>
        <w:rPr/>
      </w:pPr>
      <w:r>
        <w:rPr>
          <w:rFonts w:eastAsia="Arial" w:cs="Arial"/>
          <w:sz w:val="22"/>
          <w:szCs w:val="22"/>
        </w:rPr>
        <w:t>Click each download button in the Export tab to save all three artifacts.</w:t>
      </w:r>
    </w:p>
    <w:p>
      <w:pPr>
        <w:pStyle w:val="ListParagraph"/>
        <w:numPr>
          <w:ilvl w:val="0"/>
          <w:numId w:val="1"/>
        </w:numPr>
        <w:spacing w:before="60" w:after="60"/>
        <w:rPr/>
      </w:pPr>
      <w:r>
        <w:rPr>
          <w:rFonts w:eastAsia="Arial" w:cs="Arial"/>
          <w:sz w:val="22"/>
          <w:szCs w:val="22"/>
        </w:rPr>
        <w:t>Store exports in the designated compliance folder in your DMS or SharePoint. Do not store analysis outputs in Claude Projects as the sole record.</w:t>
      </w:r>
    </w:p>
    <w:p>
      <w:pPr>
        <w:pStyle w:val="Normal"/>
        <w:spacing w:before="80" w:after="0"/>
        <w:rPr/>
      </w:pPr>
      <w:r>
        <w:rPr/>
      </w:r>
    </w:p>
    <w:p>
      <w:pPr>
        <w:pStyle w:val="Normal"/>
        <w:pBdr>
          <w:bottom w:val="single" w:sz="4" w:space="1" w:color="CCCCCC"/>
        </w:pBdr>
        <w:spacing w:before="160" w:after="160"/>
        <w:rPr/>
      </w:pPr>
      <w:r>
        <w:rPr/>
      </w:r>
    </w:p>
    <w:p>
      <w:pPr>
        <w:pStyle w:val="Heading1"/>
        <w:spacing w:before="320" w:after="160"/>
        <w:rPr/>
      </w:pPr>
      <w:r>
        <w:rPr>
          <w:rFonts w:eastAsia="Arial" w:cs="Arial" w:ascii="Arial" w:hAnsi="Arial"/>
          <w:b/>
          <w:bCs/>
          <w:color w:val="1A3A5C"/>
          <w:sz w:val="32"/>
          <w:szCs w:val="32"/>
        </w:rPr>
        <w:t>4. Data Handling and Security Rules</w:t>
      </w:r>
    </w:p>
    <w:tbl>
      <w:tblPr>
        <w:tblW w:w="9360" w:type="dxa"/>
        <w:jc w:val="left"/>
        <w:tblInd w:w="0" w:type="dxa"/>
        <w:tblLayout w:type="fixed"/>
        <w:tblCellMar>
          <w:top w:w="120" w:type="dxa"/>
          <w:left w:w="180" w:type="dxa"/>
          <w:bottom w:w="120" w:type="dxa"/>
          <w:right w:w="180" w:type="dxa"/>
        </w:tblCellMar>
      </w:tblPr>
      <w:tblGrid>
        <w:gridCol w:w="9360"/>
      </w:tblGrid>
      <w:tr>
        <w:trPr/>
        <w:tc>
          <w:tcPr>
            <w:tcW w:w="9360" w:type="dxa"/>
            <w:tcBorders>
              <w:top w:val="single" w:sz="2" w:space="0" w:color="1A5276"/>
              <w:left w:val="single" w:sz="2" w:space="0" w:color="1A5276"/>
              <w:bottom w:val="single" w:sz="2" w:space="0" w:color="1A5276"/>
              <w:right w:val="single" w:sz="2" w:space="0" w:color="1A5276"/>
            </w:tcBorders>
            <w:shd w:fill="FDEDEC" w:val="clear"/>
          </w:tcPr>
          <w:p>
            <w:pPr>
              <w:pStyle w:val="Normal"/>
              <w:spacing w:before="0" w:after="60"/>
              <w:rPr/>
            </w:pPr>
            <w:r>
              <w:rPr>
                <w:rFonts w:eastAsia="Arial" w:cs="Arial"/>
                <w:b/>
                <w:bCs/>
                <w:color w:val="1A3A5C"/>
                <w:sz w:val="20"/>
                <w:szCs w:val="20"/>
              </w:rPr>
              <w:t>Security notice</w:t>
            </w:r>
          </w:p>
          <w:p>
            <w:pPr>
              <w:pStyle w:val="Normal"/>
              <w:rPr/>
            </w:pPr>
            <w:r>
              <w:rPr>
                <w:rFonts w:eastAsia="Arial" w:cs="Arial"/>
                <w:color w:val="333333"/>
                <w:sz w:val="20"/>
                <w:szCs w:val="20"/>
              </w:rPr>
              <w:t>The Policy Gap Analyzer runs entirely in-browser. Policy text pasted into the tool is processed locally within your Claude session and is not transmitted to external systems by the analyzer. However, all text entered into Claude is subject to Anthropic's standard data handling policies. Do not paste documents classified above the approved data tier for your Claude plan.</w:t>
            </w:r>
          </w:p>
        </w:tc>
      </w:tr>
    </w:tbl>
    <w:p>
      <w:pPr>
        <w:pStyle w:val="Normal"/>
        <w:spacing w:before="80" w:after="0"/>
        <w:rPr/>
      </w:pPr>
      <w:r>
        <w:rPr/>
      </w:r>
    </w:p>
    <w:p>
      <w:pPr>
        <w:pStyle w:val="Normal"/>
        <w:spacing w:before="200" w:after="80"/>
        <w:rPr/>
      </w:pPr>
      <w:r>
        <w:rPr>
          <w:rFonts w:eastAsia="Arial" w:cs="Arial"/>
          <w:b/>
          <w:bCs/>
          <w:color w:val="2E4057"/>
          <w:sz w:val="22"/>
          <w:szCs w:val="22"/>
        </w:rPr>
        <w:t>4.1  What is safe to paste</w:t>
      </w:r>
    </w:p>
    <w:p>
      <w:pPr>
        <w:pStyle w:val="ListParagraph"/>
        <w:numPr>
          <w:ilvl w:val="0"/>
          <w:numId w:val="5"/>
        </w:numPr>
        <w:spacing w:before="40" w:after="40"/>
        <w:rPr/>
      </w:pPr>
      <w:r>
        <w:rPr>
          <w:rFonts w:eastAsia="Arial" w:cs="Arial"/>
          <w:sz w:val="22"/>
          <w:szCs w:val="22"/>
        </w:rPr>
        <w:t>Internal policy documents marked Internal Use Only or lower.</w:t>
      </w:r>
    </w:p>
    <w:p>
      <w:pPr>
        <w:pStyle w:val="ListParagraph"/>
        <w:numPr>
          <w:ilvl w:val="0"/>
          <w:numId w:val="2"/>
        </w:numPr>
        <w:spacing w:before="40" w:after="40"/>
        <w:rPr/>
      </w:pPr>
      <w:r>
        <w:rPr>
          <w:rFonts w:eastAsia="Arial" w:cs="Arial"/>
          <w:sz w:val="22"/>
          <w:szCs w:val="22"/>
        </w:rPr>
        <w:t>Draft policies under development.</w:t>
      </w:r>
    </w:p>
    <w:p>
      <w:pPr>
        <w:pStyle w:val="ListParagraph"/>
        <w:numPr>
          <w:ilvl w:val="0"/>
          <w:numId w:val="2"/>
        </w:numPr>
        <w:spacing w:before="40" w:after="40"/>
        <w:rPr/>
      </w:pPr>
      <w:r>
        <w:rPr>
          <w:rFonts w:eastAsia="Arial" w:cs="Arial"/>
          <w:sz w:val="22"/>
          <w:szCs w:val="22"/>
        </w:rPr>
        <w:t>Anonymized or de-identified policy text.</w:t>
      </w:r>
    </w:p>
    <w:p>
      <w:pPr>
        <w:pStyle w:val="Normal"/>
        <w:spacing w:before="40" w:after="0"/>
        <w:rPr/>
      </w:pPr>
      <w:r>
        <w:rPr/>
      </w:r>
    </w:p>
    <w:p>
      <w:pPr>
        <w:pStyle w:val="Normal"/>
        <w:spacing w:before="200" w:after="80"/>
        <w:rPr/>
      </w:pPr>
      <w:r>
        <w:rPr>
          <w:rFonts w:eastAsia="Arial" w:cs="Arial"/>
          <w:b/>
          <w:bCs/>
          <w:color w:val="2E4057"/>
          <w:sz w:val="22"/>
          <w:szCs w:val="22"/>
        </w:rPr>
        <w:t>4.2  What must NOT be pasted</w:t>
      </w:r>
    </w:p>
    <w:p>
      <w:pPr>
        <w:pStyle w:val="ListParagraph"/>
        <w:numPr>
          <w:ilvl w:val="0"/>
          <w:numId w:val="2"/>
        </w:numPr>
        <w:spacing w:before="40" w:after="40"/>
        <w:rPr/>
      </w:pPr>
      <w:r>
        <w:rPr>
          <w:rFonts w:eastAsia="Arial" w:cs="Arial"/>
          <w:sz w:val="22"/>
          <w:szCs w:val="22"/>
        </w:rPr>
        <w:t>Classified, Top Secret, or Secret documents.</w:t>
      </w:r>
    </w:p>
    <w:p>
      <w:pPr>
        <w:pStyle w:val="ListParagraph"/>
        <w:numPr>
          <w:ilvl w:val="0"/>
          <w:numId w:val="2"/>
        </w:numPr>
        <w:spacing w:before="40" w:after="40"/>
        <w:rPr/>
      </w:pPr>
      <w:r>
        <w:rPr>
          <w:rFonts w:eastAsia="Arial" w:cs="Arial"/>
          <w:sz w:val="22"/>
          <w:szCs w:val="22"/>
        </w:rPr>
        <w:t>Documents containing employee PII (SSNs, names tied to violations).</w:t>
      </w:r>
    </w:p>
    <w:p>
      <w:pPr>
        <w:pStyle w:val="ListParagraph"/>
        <w:numPr>
          <w:ilvl w:val="0"/>
          <w:numId w:val="2"/>
        </w:numPr>
        <w:spacing w:before="40" w:after="40"/>
        <w:rPr/>
      </w:pPr>
      <w:r>
        <w:rPr>
          <w:rFonts w:eastAsia="Arial" w:cs="Arial"/>
          <w:sz w:val="22"/>
          <w:szCs w:val="22"/>
        </w:rPr>
        <w:t>Vendor contracts with NDA restrictions on AI processing.</w:t>
      </w:r>
    </w:p>
    <w:p>
      <w:pPr>
        <w:pStyle w:val="ListParagraph"/>
        <w:numPr>
          <w:ilvl w:val="0"/>
          <w:numId w:val="2"/>
        </w:numPr>
        <w:spacing w:before="40" w:after="40"/>
        <w:rPr/>
      </w:pPr>
      <w:r>
        <w:rPr>
          <w:rFonts w:eastAsia="Arial" w:cs="Arial"/>
          <w:sz w:val="22"/>
          <w:szCs w:val="22"/>
        </w:rPr>
        <w:t>Customer or patient data of any kind.</w:t>
      </w:r>
    </w:p>
    <w:p>
      <w:pPr>
        <w:pStyle w:val="Normal"/>
        <w:spacing w:before="80" w:after="0"/>
        <w:rPr/>
      </w:pPr>
      <w:r>
        <w:rPr/>
      </w:r>
    </w:p>
    <w:p>
      <w:pPr>
        <w:pStyle w:val="Normal"/>
        <w:pBdr>
          <w:bottom w:val="single" w:sz="4" w:space="1" w:color="CCCCCC"/>
        </w:pBdr>
        <w:spacing w:before="160" w:after="160"/>
        <w:rPr/>
      </w:pPr>
      <w:r>
        <w:rPr/>
      </w:r>
    </w:p>
    <w:p>
      <w:pPr>
        <w:pStyle w:val="Heading1"/>
        <w:spacing w:before="320" w:after="160"/>
        <w:rPr/>
      </w:pPr>
      <w:r>
        <w:rPr>
          <w:rFonts w:eastAsia="Arial" w:cs="Arial" w:ascii="Arial" w:hAnsi="Arial"/>
          <w:b/>
          <w:bCs/>
          <w:color w:val="1A3A5C"/>
          <w:sz w:val="32"/>
          <w:szCs w:val="32"/>
        </w:rPr>
        <w:t>5. Quick Reference Card</w:t>
      </w:r>
    </w:p>
    <w:tbl>
      <w:tblPr>
        <w:tblW w:w="9360" w:type="dxa"/>
        <w:jc w:val="left"/>
        <w:tblInd w:w="0" w:type="dxa"/>
        <w:tblLayout w:type="fixed"/>
        <w:tblCellMar>
          <w:top w:w="100" w:type="dxa"/>
          <w:left w:w="140" w:type="dxa"/>
          <w:bottom w:w="100" w:type="dxa"/>
          <w:right w:w="140" w:type="dxa"/>
        </w:tblCellMar>
      </w:tblPr>
      <w:tblGrid>
        <w:gridCol w:w="2399"/>
        <w:gridCol w:w="5761"/>
        <w:gridCol w:w="1200"/>
      </w:tblGrid>
      <w:tr>
        <w:trPr>
          <w:tblHeader w:val="true"/>
        </w:trPr>
        <w:tc>
          <w:tcPr>
            <w:tcW w:w="2399" w:type="dxa"/>
            <w:tcBorders>
              <w:top w:val="single" w:sz="2" w:space="0" w:color="1A5276"/>
              <w:left w:val="single" w:sz="2" w:space="0" w:color="1A5276"/>
              <w:bottom w:val="single" w:sz="2" w:space="0" w:color="1A5276"/>
              <w:right w:val="single" w:sz="2" w:space="0" w:color="1A5276"/>
            </w:tcBorders>
            <w:shd w:fill="1A5276" w:val="clear"/>
          </w:tcPr>
          <w:p>
            <w:pPr>
              <w:pStyle w:val="Normal"/>
              <w:rPr/>
            </w:pPr>
            <w:r>
              <w:rPr>
                <w:rFonts w:eastAsia="Arial" w:cs="Arial"/>
                <w:b/>
                <w:bCs/>
                <w:color w:val="FFFFFF"/>
                <w:sz w:val="20"/>
                <w:szCs w:val="20"/>
              </w:rPr>
              <w:t>Issue</w:t>
            </w:r>
          </w:p>
        </w:tc>
        <w:tc>
          <w:tcPr>
            <w:tcW w:w="5761" w:type="dxa"/>
            <w:tcBorders>
              <w:top w:val="single" w:sz="2" w:space="0" w:color="1A5276"/>
              <w:left w:val="single" w:sz="2" w:space="0" w:color="1A5276"/>
              <w:bottom w:val="single" w:sz="2" w:space="0" w:color="1A5276"/>
              <w:right w:val="single" w:sz="2" w:space="0" w:color="1A5276"/>
            </w:tcBorders>
            <w:shd w:fill="1A5276" w:val="clear"/>
          </w:tcPr>
          <w:p>
            <w:pPr>
              <w:pStyle w:val="Normal"/>
              <w:rPr/>
            </w:pPr>
            <w:r>
              <w:rPr>
                <w:rFonts w:eastAsia="Arial" w:cs="Arial"/>
                <w:b/>
                <w:bCs/>
                <w:color w:val="FFFFFF"/>
                <w:sz w:val="20"/>
                <w:szCs w:val="20"/>
              </w:rPr>
              <w:t>Resolution</w:t>
            </w:r>
          </w:p>
        </w:tc>
        <w:tc>
          <w:tcPr>
            <w:tcW w:w="1200" w:type="dxa"/>
            <w:tcBorders>
              <w:top w:val="single" w:sz="2" w:space="0" w:color="1A5276"/>
              <w:left w:val="single" w:sz="2" w:space="0" w:color="1A5276"/>
              <w:bottom w:val="single" w:sz="2" w:space="0" w:color="1A5276"/>
              <w:right w:val="single" w:sz="2" w:space="0" w:color="1A5276"/>
            </w:tcBorders>
            <w:shd w:fill="1A5276" w:val="clear"/>
          </w:tcPr>
          <w:p>
            <w:pPr>
              <w:pStyle w:val="Normal"/>
              <w:rPr/>
            </w:pPr>
            <w:r>
              <w:rPr>
                <w:rFonts w:eastAsia="Arial" w:cs="Arial"/>
                <w:b/>
                <w:bCs/>
                <w:color w:val="FFFFFF"/>
                <w:sz w:val="20"/>
                <w:szCs w:val="20"/>
              </w:rPr>
              <w:t>Responsible</w:t>
            </w:r>
          </w:p>
        </w:tc>
      </w:tr>
      <w:tr>
        <w:trPr/>
        <w:tc>
          <w:tcPr>
            <w:tcW w:w="2399" w:type="dxa"/>
            <w:tcBorders>
              <w:top w:val="single" w:sz="2" w:space="0" w:color="CCCCCC"/>
              <w:left w:val="single" w:sz="2" w:space="0" w:color="CCCCCC"/>
              <w:bottom w:val="single" w:sz="2" w:space="0" w:color="CCCCCC"/>
              <w:right w:val="single" w:sz="2" w:space="0" w:color="CCCCCC"/>
            </w:tcBorders>
            <w:shd w:fill="F4F9FF" w:val="clear"/>
          </w:tcPr>
          <w:p>
            <w:pPr>
              <w:pStyle w:val="Normal"/>
              <w:rPr/>
            </w:pPr>
            <w:r>
              <w:rPr>
                <w:rFonts w:eastAsia="Arial" w:cs="Arial"/>
                <w:sz w:val="20"/>
                <w:szCs w:val="20"/>
              </w:rPr>
              <w:t>Analyzer not loading</w:t>
            </w:r>
          </w:p>
        </w:tc>
        <w:tc>
          <w:tcPr>
            <w:tcW w:w="5761" w:type="dxa"/>
            <w:tcBorders>
              <w:top w:val="single" w:sz="2" w:space="0" w:color="CCCCCC"/>
              <w:left w:val="single" w:sz="2" w:space="0" w:color="CCCCCC"/>
              <w:bottom w:val="single" w:sz="2" w:space="0" w:color="CCCCCC"/>
              <w:right w:val="single" w:sz="2" w:space="0" w:color="CCCCCC"/>
            </w:tcBorders>
            <w:shd w:fill="F4F9FF" w:val="clear"/>
          </w:tcPr>
          <w:p>
            <w:pPr>
              <w:pStyle w:val="Normal"/>
              <w:rPr/>
            </w:pPr>
            <w:r>
              <w:rPr>
                <w:rFonts w:eastAsia="Arial" w:cs="Arial"/>
                <w:sz w:val="20"/>
                <w:szCs w:val="20"/>
              </w:rPr>
              <w:t>Refresh the conversation. Re-open the project artifact. Click Load demo policy to test.</w:t>
            </w:r>
          </w:p>
        </w:tc>
        <w:tc>
          <w:tcPr>
            <w:tcW w:w="1200" w:type="dxa"/>
            <w:tcBorders>
              <w:top w:val="single" w:sz="2" w:space="0" w:color="CCCCCC"/>
              <w:left w:val="single" w:sz="2" w:space="0" w:color="CCCCCC"/>
              <w:bottom w:val="single" w:sz="2" w:space="0" w:color="CCCCCC"/>
              <w:right w:val="single" w:sz="2" w:space="0" w:color="CCCCCC"/>
            </w:tcBorders>
            <w:shd w:fill="F4F9FF" w:val="clear"/>
          </w:tcPr>
          <w:p>
            <w:pPr>
              <w:pStyle w:val="Normal"/>
              <w:rPr/>
            </w:pPr>
            <w:r>
              <w:rPr>
                <w:rFonts w:eastAsia="Arial" w:cs="Arial"/>
                <w:sz w:val="20"/>
                <w:szCs w:val="20"/>
              </w:rPr>
              <w:t>Analyst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Incorrect classification</w:t>
            </w:r>
          </w:p>
        </w:tc>
        <w:tc>
          <w:tcPr>
            <w:tcW w:w="5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Manually override in the exported CSV. Note the override in the Analyst Comment column.</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Analyst</w:t>
            </w:r>
          </w:p>
        </w:tc>
      </w:tr>
      <w:tr>
        <w:trPr/>
        <w:tc>
          <w:tcPr>
            <w:tcW w:w="2399" w:type="dxa"/>
            <w:tcBorders>
              <w:top w:val="single" w:sz="2" w:space="0" w:color="CCCCCC"/>
              <w:left w:val="single" w:sz="2" w:space="0" w:color="CCCCCC"/>
              <w:bottom w:val="single" w:sz="2" w:space="0" w:color="CCCCCC"/>
              <w:right w:val="single" w:sz="2" w:space="0" w:color="CCCCCC"/>
            </w:tcBorders>
            <w:shd w:fill="F4F9FF" w:val="clear"/>
          </w:tcPr>
          <w:p>
            <w:pPr>
              <w:pStyle w:val="Normal"/>
              <w:rPr/>
            </w:pPr>
            <w:r>
              <w:rPr>
                <w:rFonts w:eastAsia="Arial" w:cs="Arial"/>
                <w:sz w:val="20"/>
                <w:szCs w:val="20"/>
              </w:rPr>
              <w:t>Control family not in tool</w:t>
            </w:r>
          </w:p>
        </w:tc>
        <w:tc>
          <w:tcPr>
            <w:tcW w:w="5761" w:type="dxa"/>
            <w:tcBorders>
              <w:top w:val="single" w:sz="2" w:space="0" w:color="CCCCCC"/>
              <w:left w:val="single" w:sz="2" w:space="0" w:color="CCCCCC"/>
              <w:bottom w:val="single" w:sz="2" w:space="0" w:color="CCCCCC"/>
              <w:right w:val="single" w:sz="2" w:space="0" w:color="CCCCCC"/>
            </w:tcBorders>
            <w:shd w:fill="F4F9FF" w:val="clear"/>
          </w:tcPr>
          <w:p>
            <w:pPr>
              <w:pStyle w:val="Normal"/>
              <w:rPr/>
            </w:pPr>
            <w:r>
              <w:rPr>
                <w:rFonts w:eastAsia="Arial" w:cs="Arial"/>
                <w:sz w:val="20"/>
                <w:szCs w:val="20"/>
              </w:rPr>
              <w:t>Paste policy text into chat and ask Claude directly for the missing family analysis.</w:t>
            </w:r>
          </w:p>
        </w:tc>
        <w:tc>
          <w:tcPr>
            <w:tcW w:w="1200" w:type="dxa"/>
            <w:tcBorders>
              <w:top w:val="single" w:sz="2" w:space="0" w:color="CCCCCC"/>
              <w:left w:val="single" w:sz="2" w:space="0" w:color="CCCCCC"/>
              <w:bottom w:val="single" w:sz="2" w:space="0" w:color="CCCCCC"/>
              <w:right w:val="single" w:sz="2" w:space="0" w:color="CCCCCC"/>
            </w:tcBorders>
            <w:shd w:fill="F4F9FF" w:val="clear"/>
          </w:tcPr>
          <w:p>
            <w:pPr>
              <w:pStyle w:val="Normal"/>
              <w:rPr/>
            </w:pPr>
            <w:r>
              <w:rPr>
                <w:rFonts w:eastAsia="Arial" w:cs="Arial"/>
                <w:sz w:val="20"/>
                <w:szCs w:val="20"/>
              </w:rPr>
              <w:t>Analyst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Exports not downloading</w:t>
            </w:r>
          </w:p>
        </w:tc>
        <w:tc>
          <w:tcPr>
            <w:tcW w:w="57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Check browser pop-up blocker settings. Allow downloads from claude.ai.</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sz w:val="20"/>
                <w:szCs w:val="20"/>
              </w:rPr>
              <w:t>Analyst</w:t>
            </w:r>
          </w:p>
        </w:tc>
      </w:tr>
      <w:tr>
        <w:trPr/>
        <w:tc>
          <w:tcPr>
            <w:tcW w:w="2399" w:type="dxa"/>
            <w:tcBorders>
              <w:top w:val="single" w:sz="2" w:space="0" w:color="CCCCCC"/>
              <w:left w:val="single" w:sz="2" w:space="0" w:color="CCCCCC"/>
              <w:bottom w:val="single" w:sz="2" w:space="0" w:color="CCCCCC"/>
              <w:right w:val="single" w:sz="2" w:space="0" w:color="CCCCCC"/>
            </w:tcBorders>
            <w:shd w:fill="F4F9FF" w:val="clear"/>
          </w:tcPr>
          <w:p>
            <w:pPr>
              <w:pStyle w:val="Normal"/>
              <w:rPr/>
            </w:pPr>
            <w:r>
              <w:rPr>
                <w:rFonts w:eastAsia="Arial" w:cs="Arial"/>
                <w:sz w:val="20"/>
                <w:szCs w:val="20"/>
              </w:rPr>
              <w:t>Tool lost from project</w:t>
            </w:r>
          </w:p>
        </w:tc>
        <w:tc>
          <w:tcPr>
            <w:tcW w:w="5761" w:type="dxa"/>
            <w:tcBorders>
              <w:top w:val="single" w:sz="2" w:space="0" w:color="CCCCCC"/>
              <w:left w:val="single" w:sz="2" w:space="0" w:color="CCCCCC"/>
              <w:bottom w:val="single" w:sz="2" w:space="0" w:color="CCCCCC"/>
              <w:right w:val="single" w:sz="2" w:space="0" w:color="CCCCCC"/>
            </w:tcBorders>
            <w:shd w:fill="F4F9FF" w:val="clear"/>
          </w:tcPr>
          <w:p>
            <w:pPr>
              <w:pStyle w:val="Normal"/>
              <w:rPr/>
            </w:pPr>
            <w:r>
              <w:rPr>
                <w:rFonts w:eastAsia="Arial" w:cs="Arial"/>
                <w:sz w:val="20"/>
                <w:szCs w:val="20"/>
              </w:rPr>
              <w:t>Re-paste artifact code per Section 2.2. Save this SOP with the artifact code appended.</w:t>
            </w:r>
          </w:p>
        </w:tc>
        <w:tc>
          <w:tcPr>
            <w:tcW w:w="1200" w:type="dxa"/>
            <w:tcBorders>
              <w:top w:val="single" w:sz="2" w:space="0" w:color="CCCCCC"/>
              <w:left w:val="single" w:sz="2" w:space="0" w:color="CCCCCC"/>
              <w:bottom w:val="single" w:sz="2" w:space="0" w:color="CCCCCC"/>
              <w:right w:val="single" w:sz="2" w:space="0" w:color="CCCCCC"/>
            </w:tcBorders>
            <w:shd w:fill="F4F9FF" w:val="clear"/>
          </w:tcPr>
          <w:p>
            <w:pPr>
              <w:pStyle w:val="Normal"/>
              <w:rPr/>
            </w:pPr>
            <w:r>
              <w:rPr>
                <w:rFonts w:eastAsia="Arial" w:cs="Arial"/>
                <w:sz w:val="20"/>
                <w:szCs w:val="20"/>
              </w:rPr>
              <w:t>Tech lead</w:t>
            </w:r>
          </w:p>
        </w:tc>
      </w:tr>
    </w:tbl>
    <w:p>
      <w:pPr>
        <w:pStyle w:val="Normal"/>
        <w:spacing w:before="80" w:after="0"/>
        <w:rPr/>
      </w:pPr>
      <w:r>
        <w:rPr/>
      </w:r>
    </w:p>
    <w:p>
      <w:pPr>
        <w:pStyle w:val="Normal"/>
        <w:pBdr>
          <w:bottom w:val="single" w:sz="4" w:space="1" w:color="CCCCCC"/>
        </w:pBdr>
        <w:spacing w:before="160" w:after="160"/>
        <w:rPr/>
      </w:pPr>
      <w:r>
        <w:rPr/>
      </w:r>
    </w:p>
    <w:p>
      <w:pPr>
        <w:pStyle w:val="Heading1"/>
        <w:spacing w:before="320" w:after="160"/>
        <w:rPr/>
      </w:pPr>
      <w:r>
        <w:rPr>
          <w:rFonts w:eastAsia="Arial" w:cs="Arial" w:ascii="Arial" w:hAnsi="Arial"/>
          <w:b/>
          <w:bCs/>
          <w:color w:val="1A3A5C"/>
          <w:sz w:val="32"/>
          <w:szCs w:val="32"/>
        </w:rPr>
        <w:t>6. Review and Revision History</w:t>
      </w:r>
    </w:p>
    <w:tbl>
      <w:tblPr>
        <w:tblW w:w="9360" w:type="dxa"/>
        <w:jc w:val="left"/>
        <w:tblInd w:w="0" w:type="dxa"/>
        <w:tblLayout w:type="fixed"/>
        <w:tblCellMar>
          <w:top w:w="100" w:type="dxa"/>
          <w:left w:w="140" w:type="dxa"/>
          <w:bottom w:w="100" w:type="dxa"/>
          <w:right w:w="140" w:type="dxa"/>
        </w:tblCellMar>
      </w:tblPr>
      <w:tblGrid>
        <w:gridCol w:w="1199"/>
        <w:gridCol w:w="2400"/>
        <w:gridCol w:w="4200"/>
        <w:gridCol w:w="1560"/>
      </w:tblGrid>
      <w:tr>
        <w:trPr>
          <w:tblHeader w:val="true"/>
        </w:trPr>
        <w:tc>
          <w:tcPr>
            <w:tcW w:w="1199" w:type="dxa"/>
            <w:tcBorders>
              <w:top w:val="single" w:sz="2" w:space="0" w:color="1A5276"/>
              <w:left w:val="single" w:sz="2" w:space="0" w:color="1A5276"/>
              <w:bottom w:val="single" w:sz="2" w:space="0" w:color="1A5276"/>
              <w:right w:val="single" w:sz="2" w:space="0" w:color="1A5276"/>
            </w:tcBorders>
            <w:shd w:fill="1A5276" w:val="clear"/>
          </w:tcPr>
          <w:p>
            <w:pPr>
              <w:pStyle w:val="Normal"/>
              <w:rPr/>
            </w:pPr>
            <w:r>
              <w:rPr>
                <w:rFonts w:eastAsia="Arial" w:cs="Arial"/>
                <w:b/>
                <w:bCs/>
                <w:color w:val="FFFFFF"/>
                <w:sz w:val="20"/>
                <w:szCs w:val="20"/>
              </w:rPr>
              <w:t>Version</w:t>
            </w:r>
          </w:p>
        </w:tc>
        <w:tc>
          <w:tcPr>
            <w:tcW w:w="2400" w:type="dxa"/>
            <w:tcBorders>
              <w:top w:val="single" w:sz="2" w:space="0" w:color="1A5276"/>
              <w:left w:val="single" w:sz="2" w:space="0" w:color="1A5276"/>
              <w:bottom w:val="single" w:sz="2" w:space="0" w:color="1A5276"/>
              <w:right w:val="single" w:sz="2" w:space="0" w:color="1A5276"/>
            </w:tcBorders>
            <w:shd w:fill="1A5276" w:val="clear"/>
          </w:tcPr>
          <w:p>
            <w:pPr>
              <w:pStyle w:val="Normal"/>
              <w:rPr/>
            </w:pPr>
            <w:r>
              <w:rPr>
                <w:rFonts w:eastAsia="Arial" w:cs="Arial"/>
                <w:b/>
                <w:bCs/>
                <w:color w:val="FFFFFF"/>
                <w:sz w:val="20"/>
                <w:szCs w:val="20"/>
              </w:rPr>
              <w:t>Date</w:t>
            </w:r>
          </w:p>
        </w:tc>
        <w:tc>
          <w:tcPr>
            <w:tcW w:w="4200" w:type="dxa"/>
            <w:tcBorders>
              <w:top w:val="single" w:sz="2" w:space="0" w:color="1A5276"/>
              <w:left w:val="single" w:sz="2" w:space="0" w:color="1A5276"/>
              <w:bottom w:val="single" w:sz="2" w:space="0" w:color="1A5276"/>
              <w:right w:val="single" w:sz="2" w:space="0" w:color="1A5276"/>
            </w:tcBorders>
            <w:shd w:fill="1A5276" w:val="clear"/>
          </w:tcPr>
          <w:p>
            <w:pPr>
              <w:pStyle w:val="Normal"/>
              <w:rPr/>
            </w:pPr>
            <w:r>
              <w:rPr>
                <w:rFonts w:eastAsia="Arial" w:cs="Arial"/>
                <w:b/>
                <w:bCs/>
                <w:color w:val="FFFFFF"/>
                <w:sz w:val="20"/>
                <w:szCs w:val="20"/>
              </w:rPr>
              <w:t>Description</w:t>
            </w:r>
          </w:p>
        </w:tc>
        <w:tc>
          <w:tcPr>
            <w:tcW w:w="1560" w:type="dxa"/>
            <w:tcBorders>
              <w:top w:val="single" w:sz="2" w:space="0" w:color="1A5276"/>
              <w:left w:val="single" w:sz="2" w:space="0" w:color="1A5276"/>
              <w:bottom w:val="single" w:sz="2" w:space="0" w:color="1A5276"/>
              <w:right w:val="single" w:sz="2" w:space="0" w:color="1A5276"/>
            </w:tcBorders>
            <w:shd w:fill="1A5276" w:val="clear"/>
          </w:tcPr>
          <w:p>
            <w:pPr>
              <w:pStyle w:val="Normal"/>
              <w:rPr/>
            </w:pPr>
            <w:r>
              <w:rPr>
                <w:rFonts w:eastAsia="Arial" w:cs="Arial"/>
                <w:b/>
                <w:bCs/>
                <w:color w:val="FFFFFF"/>
                <w:sz w:val="20"/>
                <w:szCs w:val="20"/>
              </w:rPr>
              <w:t>Author</w:t>
            </w:r>
          </w:p>
        </w:tc>
      </w:tr>
      <w:tr>
        <w:trPr/>
        <w:tc>
          <w:tcPr>
            <w:tcW w:w="1199" w:type="dxa"/>
            <w:tcBorders>
              <w:top w:val="single" w:sz="2" w:space="0" w:color="CCCCCC"/>
              <w:left w:val="single" w:sz="2" w:space="0" w:color="CCCCCC"/>
              <w:bottom w:val="single" w:sz="2" w:space="0" w:color="CCCCCC"/>
              <w:right w:val="single" w:sz="2" w:space="0" w:color="CCCCCC"/>
            </w:tcBorders>
            <w:shd w:fill="F4F9FF" w:val="clear"/>
          </w:tcPr>
          <w:p>
            <w:pPr>
              <w:pStyle w:val="Normal"/>
              <w:rPr/>
            </w:pPr>
            <w:r>
              <w:rPr>
                <w:rFonts w:eastAsia="Arial" w:cs="Arial"/>
                <w:sz w:val="20"/>
                <w:szCs w:val="20"/>
              </w:rPr>
              <w:t>1.0</w:t>
            </w:r>
          </w:p>
        </w:tc>
        <w:tc>
          <w:tcPr>
            <w:tcW w:w="2400" w:type="dxa"/>
            <w:tcBorders>
              <w:top w:val="single" w:sz="2" w:space="0" w:color="CCCCCC"/>
              <w:left w:val="single" w:sz="2" w:space="0" w:color="CCCCCC"/>
              <w:bottom w:val="single" w:sz="2" w:space="0" w:color="CCCCCC"/>
              <w:right w:val="single" w:sz="2" w:space="0" w:color="CCCCCC"/>
            </w:tcBorders>
            <w:shd w:fill="F4F9FF" w:val="clear"/>
          </w:tcPr>
          <w:p>
            <w:pPr>
              <w:pStyle w:val="Normal"/>
              <w:rPr/>
            </w:pPr>
            <w:r>
              <w:rPr>
                <w:rFonts w:eastAsia="Arial" w:cs="Arial"/>
                <w:sz w:val="20"/>
                <w:szCs w:val="20"/>
              </w:rPr>
              <w:t>May 7, 2026</w:t>
            </w:r>
          </w:p>
        </w:tc>
        <w:tc>
          <w:tcPr>
            <w:tcW w:w="4200" w:type="dxa"/>
            <w:tcBorders>
              <w:top w:val="single" w:sz="2" w:space="0" w:color="CCCCCC"/>
              <w:left w:val="single" w:sz="2" w:space="0" w:color="CCCCCC"/>
              <w:bottom w:val="single" w:sz="2" w:space="0" w:color="CCCCCC"/>
              <w:right w:val="single" w:sz="2" w:space="0" w:color="CCCCCC"/>
            </w:tcBorders>
            <w:shd w:fill="F4F9FF" w:val="clear"/>
          </w:tcPr>
          <w:p>
            <w:pPr>
              <w:pStyle w:val="Normal"/>
              <w:rPr/>
            </w:pPr>
            <w:r>
              <w:rPr>
                <w:rFonts w:eastAsia="Arial" w:cs="Arial"/>
                <w:sz w:val="20"/>
                <w:szCs w:val="20"/>
              </w:rPr>
              <w:t>Initial release</w:t>
            </w:r>
          </w:p>
        </w:tc>
        <w:tc>
          <w:tcPr>
            <w:tcW w:w="1560" w:type="dxa"/>
            <w:tcBorders>
              <w:top w:val="single" w:sz="2" w:space="0" w:color="CCCCCC"/>
              <w:left w:val="single" w:sz="2" w:space="0" w:color="CCCCCC"/>
              <w:bottom w:val="single" w:sz="2" w:space="0" w:color="CCCCCC"/>
              <w:right w:val="single" w:sz="2" w:space="0" w:color="CCCCCC"/>
            </w:tcBorders>
            <w:shd w:fill="F4F9FF" w:val="clear"/>
          </w:tcPr>
          <w:p>
            <w:pPr>
              <w:pStyle w:val="Normal"/>
              <w:rPr/>
            </w:pPr>
            <w:r>
              <w:rPr>
                <w:rFonts w:eastAsia="Arial" w:cs="Arial"/>
                <w:sz w:val="20"/>
                <w:szCs w:val="20"/>
              </w:rPr>
              <w:t>Compliance Team</w:t>
            </w:r>
          </w:p>
        </w:tc>
      </w:tr>
    </w:tbl>
    <w:p>
      <w:pPr>
        <w:pStyle w:val="Normal"/>
        <w:spacing w:before="80" w:after="0"/>
        <w:rPr/>
      </w:pPr>
      <w:r>
        <w:rPr/>
      </w:r>
    </w:p>
    <w:p>
      <w:pPr>
        <w:pStyle w:val="Normal"/>
        <w:spacing w:before="80" w:after="80"/>
        <w:rPr/>
      </w:pPr>
      <w:r>
        <w:rPr>
          <w:rFonts w:eastAsia="Arial" w:cs="Arial"/>
          <w:sz w:val="22"/>
          <w:szCs w:val="22"/>
        </w:rPr>
        <w:t>This SOP is reviewed annually or whenever the Policy Gap Analyzer tool is materially updated. Submit revision requests to the Cybersecurity Compliance Team.</w:t>
      </w:r>
    </w:p>
    <w:p>
      <w:pPr>
        <w:pStyle w:val="Normal"/>
        <w:spacing w:before="120" w:after="0"/>
        <w:rPr/>
      </w:pPr>
      <w:r>
        <w:rPr/>
      </w:r>
    </w:p>
    <w:p>
      <w:pPr>
        <w:pStyle w:val="Normal"/>
        <w:pBdr>
          <w:bottom w:val="single" w:sz="4" w:space="1" w:color="CCCCCC"/>
        </w:pBdr>
        <w:spacing w:before="160" w:after="160"/>
        <w:rPr/>
      </w:pPr>
      <w:r>
        <w:rPr/>
      </w:r>
    </w:p>
    <w:p>
      <w:pPr>
        <w:pStyle w:val="Normal"/>
        <w:spacing w:before="40" w:after="0"/>
        <w:rPr/>
      </w:pPr>
      <w:r>
        <w:rPr/>
      </w:r>
    </w:p>
    <w:p>
      <w:pPr>
        <w:pStyle w:val="Normal"/>
        <w:jc w:val="center"/>
        <w:rPr/>
      </w:pPr>
      <w:r>
        <w:rPr>
          <w:rFonts w:eastAsia="Arial" w:cs="Arial"/>
          <w:i/>
          <w:iCs/>
          <w:color w:val="AAAAAA"/>
          <w:sz w:val="18"/>
          <w:szCs w:val="18"/>
        </w:rPr>
        <w:t>End of Document  —  SOP-CYBER-001 v1.0</w:t>
      </w:r>
    </w:p>
    <w:sectPr>
      <w:footerReference w:type="even" r:id="rId2"/>
      <w:footerReference w:type="default" r:id="rId3"/>
      <w:footerReference w:type="first" r:id="rId4"/>
      <w:type w:val="nextPage"/>
      <w:pgSz w:w="12240" w:h="15840"/>
      <w:pgMar w:left="1260" w:right="1260" w:gutter="0" w:header="0"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NIST 800-53 Policy Gap Analyzer  |  Internal Use Only  |  Page </w:t>
    </w: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NIST 800-53 Policy Gap Analyzer  |  Internal Use Only  |  Page </w:t>
    </w:r>
    <w:r>
      <w:rPr/>
      <w:fldChar w:fldCharType="begin"/>
    </w:r>
    <w:r>
      <w:rPr/>
      <w:instrText xml:space="preserve"> PAGE </w:instrText>
    </w:r>
    <w:r>
      <w:rPr/>
      <w:fldChar w:fldCharType="separate"/>
    </w:r>
    <w:r>
      <w:rPr/>
      <w:t>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540" w:hanging="280"/>
      </w:pPr>
      <w:rPr/>
    </w:lvl>
    <w:lvl w:ilvl="1">
      <w:start w:val="1"/>
      <w:numFmt w:val="lowerLetter"/>
      <w:lvlText w:val="%2."/>
      <w:lvlJc w:val="left"/>
      <w:pPr>
        <w:tabs>
          <w:tab w:val="num" w:pos="0"/>
        </w:tabs>
        <w:ind w:left="900" w:hanging="280"/>
      </w:pP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0"/>
        </w:tabs>
        <w:ind w:left="540" w:hanging="260"/>
      </w:pPr>
      <w:rPr>
        <w:rFonts w:ascii="Symbol" w:hAnsi="Symbol" w:cs="Symbol" w:hint="default"/>
      </w:rPr>
    </w:lvl>
    <w:lvl w:ilvl="1">
      <w:start w:val="1"/>
      <w:numFmt w:val="bullet"/>
      <w:lvlText w:val="◦"/>
      <w:lvlJc w:val="left"/>
      <w:pPr>
        <w:tabs>
          <w:tab w:val="num" w:pos="0"/>
        </w:tabs>
        <w:ind w:left="900" w:hanging="2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20" w:after="160"/>
      <w:outlineLvl w:val="0"/>
    </w:pPr>
    <w:rPr>
      <w:rFonts w:ascii="Arial" w:hAnsi="Arial" w:eastAsia="Arial" w:cs="Arial"/>
      <w:b/>
      <w:bCs/>
      <w:sz w:val="32"/>
      <w:szCs w:val="32"/>
    </w:rPr>
  </w:style>
  <w:style w:type="paragraph" w:styleId="Heading2">
    <w:name w:val="heading 2"/>
    <w:basedOn w:val="Heading"/>
    <w:qFormat/>
    <w:pPr>
      <w:spacing w:before="240" w:after="120"/>
      <w:outlineLvl w:val="1"/>
    </w:pPr>
    <w:rPr>
      <w:rFonts w:ascii="Arial" w:hAnsi="Arial" w:eastAsia="Arial" w:cs="Arial"/>
      <w:b/>
      <w:bCs/>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5</Pages>
  <Words>1001</Words>
  <Characters>5537</Characters>
  <CharactersWithSpaces>6410</CharactersWithSpaces>
  <Paragraphs>117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2026-05-07T07:35:21Z</dcterms:created>
  <dc:creator>Un-named</dc:creator>
  <dc:description/>
  <dc:language>en-US</dc:language>
  <cp:lastModifiedBy>Un-named</cp:lastModifiedBy>
  <dcterms:modified xsi:type="dcterms:W3CDTF">2026-05-07T07:35:21Z</dcterms:modified>
  <cp:revision>1</cp:revision>
  <dc:subject/>
  <dc:title/>
</cp:coreProperties>
</file>