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pPr>
      <w:r>
        <w:rPr>
          <w:b/>
          <w:sz w:val="25"/>
        </w:rPr>
        <w:t xml:space="preserve">Fadi Concept - Collaboration Common Rules</w:t>
      </w:r>
    </w:p>
    <w:p>
      <w:pPr>
        <w:spacing w:after="70"/>
      </w:pPr>
      <w:r>
        <w:t xml:space="preserve">Version 1.0 — Shared reference</w:t>
      </w:r>
    </w:p>
    <w:p>
      <w:pPr>
        <w:spacing w:after="180"/>
      </w:pPr>
      <w:r>
        <w:rPr>
          <w:b/>
          <w:sz w:val="25"/>
        </w:rPr>
        <w:t xml:space="preserve">Five rules</w:t>
      </w:r>
    </w:p>
    <w:p>
      <w:pPr>
        <w:spacing w:after="70"/>
      </w:pPr>
      <w:r>
        <w:t xml:space="preserve">1. One verified identity and one shared access system.</w:t>
      </w:r>
    </w:p>
    <w:p>
      <w:pPr>
        <w:spacing w:after="70"/>
      </w:pPr>
      <w:r>
        <w:t xml:space="preserve">2. Every formal action requires explicit authority.</w:t>
      </w:r>
    </w:p>
    <w:p>
      <w:pPr>
        <w:spacing w:after="70"/>
      </w:pPr>
      <w:r>
        <w:t xml:space="preserve">3. Information is shared only with its authorized audience.</w:t>
      </w:r>
    </w:p>
    <w:p>
      <w:pPr>
        <w:spacing w:after="70"/>
      </w:pPr>
      <w:r>
        <w:t xml:space="preserve">4. Working, saving, sharing, adopting, reviewing, approving and publishing are separate actions.</w:t>
      </w:r>
    </w:p>
    <w:p>
      <w:pPr>
        <w:spacing w:after="70"/>
      </w:pPr>
      <w:r>
        <w:t xml:space="preserve">5. Important actions preserve actor, scope, source revision, authority and outcome.</w:t>
      </w:r>
    </w:p>
    <w:p>
      <w:pPr>
        <w:spacing w:after="180"/>
      </w:pPr>
      <w:r>
        <w:rPr>
          <w:b/>
          <w:sz w:val="25"/>
        </w:rPr>
        <w:t xml:space="preserve">Vocabulary</w:t>
      </w:r>
    </w:p>
    <w:p>
      <w:pPr>
        <w:spacing w:after="70"/>
      </w:pPr>
      <w:r>
        <w:t xml:space="preserve">A contact may lack an account. Organization membership does not grant project access. Project participation does not imply unrestricted permissions. Assignment is expected work; authority is the basis for a formal action; permission is an allowed action on a resource; access is the effective result after restrictions. A session is temporary. A revision is a saved state. Coordination packages, adopted references, fixed review packages, approved dossiers and published releases have different purposes. Comments, issues, tasks, reviews and decisions are not interchangeable.</w:t>
      </w:r>
    </w:p>
    <w:p>
      <w:pPr>
        <w:spacing w:after="180"/>
      </w:pPr>
      <w:r>
        <w:rPr>
          <w:b/>
          <w:sz w:val="25"/>
        </w:rPr>
        <w:t xml:space="preserve">Module ownership</w:t>
      </w:r>
    </w:p>
    <w:p>
      <w:pPr>
        <w:spacing w:after="70"/>
      </w:pPr>
      <w:r>
        <w:t xml:space="preserve">Users Management owns identities, invitations and grants. COM owns conversations and notifications. Real-time Collaboration owns live sessions and presence. Shared Collaboration owns issues and tasks. Studio owns design, revisions and applicable approvals. Documents owns document versions and its domain workflows. Parcours owns project steps. No module creates a competing approval or account system.</w:t>
      </w:r>
    </w:p>
    <w:p>
      <w:pPr>
        <w:spacing w:after="180"/>
      </w:pPr>
      <w:r>
        <w:rPr>
          <w:b/>
          <w:sz w:val="25"/>
        </w:rPr>
        <w:t xml:space="preserve">Audience and continuity</w:t>
      </w:r>
    </w:p>
    <w:p>
      <w:pPr>
        <w:spacing w:after="70"/>
      </w:pPr>
      <w:r>
        <w:t xml:space="preserve">Mentions, links, invitations and session attendance do not automatically widen access. Previews, exports, notifications and AI summaries obey the same audience. A project custodian, content custodian and session host have different responsibilities. Independent grants survive unrelated removal subject to restrictions. Departure withdraws dependent access and preserves history. Conflict recovery does not silently overwrite accepted work.</w:t>
      </w:r>
    </w:p>
    <w:p>
      <w:pPr>
        <w:spacing w:after="180"/>
      </w:pPr>
      <w:r>
        <w:rPr>
          <w:b/>
          <w:sz w:val="25"/>
        </w:rPr>
        <w:t xml:space="preserve">Acceptance</w:t>
      </w:r>
    </w:p>
    <w:p>
      <w:pPr>
        <w:spacing w:after="70"/>
      </w:pPr>
      <w:r>
        <w:t xml:space="preserve">Internal team assignment; external engineer invitation and scoped access; R03 comment and R04 correction; client fixed-package review; authorized approval followed by separate publication; revocation mid-session; package received but not adopted; conflicting/offline retry; host denied unauthorized approval.</w:t>
      </w:r>
    </w:p>
    <w:p>
      <w:pPr>
        <w:spacing w:after="70"/>
      </w:pPr>
      <w:r>
        <w:t xml:space="preserve">No new module or universal workflow engine is required.</w:t>
      </w:r>
    </w:p>
    <w:sectPr>
      <w:pgSz w:w="11906" w:h="16838"/>
      <w:pgMar w:top="1050" w:right="1050" w:bottom="1050" w:left="1050"/>
    </w:sectPr>
  </w:body>
</w:document>
</file>