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spacing w:before="1900"/>
      </w:pPr>
      <w:r>
        <w:rPr>
          <w:rFonts w:ascii="Liberation Sans" w:hAnsi="Liberation Sans" w:eastAsia="Liberation Sans" w:cs="Liberation Sans"/>
          <w:b/>
          <w:color w:val="147D88"/>
          <w:sz w:val="20"/>
        </w:rPr>
        <w:t>FADI  /  RÉFÉRENTIEL PRODUIT &amp; INGÉNIERIE</w:t>
      </w:r>
    </w:p>
    <w:p>
      <w:pPr>
        <w:pStyle w:val="H0"/>
        <w:spacing w:before="360"/>
      </w:pPr>
      <w:r>
        <w:rPr>
          <w:rFonts w:ascii="Liberation Sans" w:hAnsi="Liberation Sans" w:eastAsia="Liberation Sans" w:cs="Liberation Sans"/>
          <w:b/>
          <w:color w:val="142B46"/>
          <w:sz w:val="52"/>
        </w:rPr>
        <w:t>STUDIO DE</w:t>
      </w:r>
      <w:r>
        <w:br/>
      </w:r>
      <w:r>
        <w:rPr>
          <w:rFonts w:ascii="Liberation Sans" w:hAnsi="Liberation Sans" w:eastAsia="Liberation Sans" w:cs="Liberation Sans"/>
          <w:b/>
          <w:color w:val="142B46"/>
          <w:sz w:val="52"/>
        </w:rPr>
        <w:t>CONCEPTION</w:t>
      </w:r>
      <w:r>
        <w:br/>
      </w:r>
      <w:r>
        <w:rPr>
          <w:rFonts w:ascii="Liberation Sans" w:hAnsi="Liberation Sans" w:eastAsia="Liberation Sans" w:cs="Liberation Sans"/>
          <w:b/>
          <w:color w:val="142B46"/>
          <w:sz w:val="52"/>
        </w:rPr>
        <w:t>ARCHITECTURALE</w:t>
      </w:r>
    </w:p>
    <w:p>
      <w:pPr>
        <w:pStyle w:val="Lead"/>
        <w:spacing w:before="240"/>
      </w:pPr>
      <w:r>
        <w:rPr>
          <w:rFonts w:ascii="Liberation Sans" w:hAnsi="Liberation Sans" w:eastAsia="Liberation Sans" w:cs="Liberation Sans"/>
          <w:color w:val="617384"/>
          <w:sz w:val="24"/>
        </w:rPr>
        <w:t>Référentiel technique détaillé : architecture cible, modèles, outils, moteurs, droits, qualité, sécurité et validation.</w:t>
      </w:r>
    </w:p>
    <w:p>
      <w:pPr>
        <w:spacing w:before="700"/>
      </w:pPr>
      <w:r>
        <w:rPr>
          <w:rFonts w:ascii="Liberation Sans" w:hAnsi="Liberation Sans" w:eastAsia="Liberation Sans" w:cs="Liberation Sans"/>
          <w:b/>
          <w:color w:val="147D88"/>
          <w:sz w:val="22"/>
        </w:rPr>
        <w:t>ÉDITION DE TRAVAIL V1.0</w:t>
      </w:r>
    </w:p>
    <w:p>
      <w:pPr>
        <w:pStyle w:val="Lead"/>
      </w:pPr>
      <w:r>
        <w:rPr>
          <w:rFonts w:ascii="Liberation Sans" w:hAnsi="Liberation Sans" w:eastAsia="Liberation Sans" w:cs="Liberation Sans"/>
          <w:color w:val="617384"/>
          <w:sz w:val="18"/>
        </w:rPr>
        <w:t>17 octobre 2026  ·  STUDIO-RT-001</w:t>
      </w:r>
    </w:p>
    <w:tbl>
      <w:tblPr>
        <w:tblW w:type="auto" w:w="0"/>
        <w:jc w:val="center"/>
        <w:tblLayout w:type="fixed"/>
        <w:tblLook w:firstColumn="1" w:firstRow="1" w:lastColumn="0" w:lastRow="0" w:noHBand="0" w:noVBand="1" w:val="04A0"/>
      </w:tblPr>
      <w:tblGrid>
        <w:gridCol w:w="5003"/>
        <w:gridCol w:w="5003"/>
      </w:tblGrid>
      <w:tr>
        <w:trPr>
          <w:tblHeader w:val="true"/>
        </w:trPr>
        <w:tc>
          <w:tcPr>
            <w:tcW w:type="dxa" w:w="2301"/>
            <w:tcMar>
              <w:top w:w="140" w:type="dxa"/>
              <w:start w:w="160" w:type="dxa"/>
              <w:bottom w:w="140" w:type="dxa"/>
              <w:end w:w="160" w:type="dxa"/>
            </w:tcMar>
            <w:shd w:fill="F1F5F8"/>
          </w:tcPr>
          <w:p>
            <w:pPr>
              <w:pStyle w:val="Small"/>
            </w:pPr>
            <w:r>
              <w:rPr>
                <w:rFonts w:ascii="Liberation Sans" w:hAnsi="Liberation Sans" w:eastAsia="Liberation Sans" w:cs="Liberation Sans"/>
                <w:b/>
                <w:color w:val="142B46"/>
                <w:sz w:val="16"/>
              </w:rPr>
              <w:t>STATUT</w:t>
            </w:r>
          </w:p>
        </w:tc>
        <w:tc>
          <w:tcPr>
            <w:tcW w:type="dxa" w:w="7705"/>
            <w:tcMar>
              <w:top w:w="140" w:type="dxa"/>
              <w:start w:w="160" w:type="dxa"/>
              <w:bottom w:w="140" w:type="dxa"/>
              <w:end w:w="160" w:type="dxa"/>
            </w:tcMar>
            <w:shd w:fill="FBFCFD"/>
          </w:tcPr>
          <w:p>
            <w:pPr>
              <w:pStyle w:val="Small"/>
            </w:pPr>
            <w:r>
              <w:rPr>
                <w:rFonts w:ascii="Liberation Sans" w:hAnsi="Liberation Sans" w:eastAsia="Liberation Sans" w:cs="Liberation Sans"/>
                <w:b w:val="0"/>
                <w:color w:val="263442"/>
                <w:sz w:val="16"/>
              </w:rPr>
              <w:t>Spécification cible proposée à validation ; aucune autorisation d’implémentation.</w:t>
            </w:r>
          </w:p>
        </w:tc>
      </w:tr>
      <w:tr>
        <w:tc>
          <w:tcPr>
            <w:tcW w:type="dxa" w:w="2301"/>
            <w:tcMar>
              <w:top w:w="140" w:type="dxa"/>
              <w:start w:w="160" w:type="dxa"/>
              <w:bottom w:w="140" w:type="dxa"/>
              <w:end w:w="160" w:type="dxa"/>
            </w:tcMar>
            <w:shd w:fill="F1F5F8"/>
          </w:tcPr>
          <w:p>
            <w:pPr>
              <w:pStyle w:val="Small"/>
            </w:pPr>
            <w:r>
              <w:rPr>
                <w:rFonts w:ascii="Liberation Sans" w:hAnsi="Liberation Sans" w:eastAsia="Liberation Sans" w:cs="Liberation Sans"/>
                <w:b/>
                <w:color w:val="142B46"/>
                <w:sz w:val="16"/>
              </w:rPr>
              <w:t>NIVEAU</w:t>
            </w:r>
          </w:p>
        </w:tc>
        <w:tc>
          <w:tcPr>
            <w:tcW w:type="dxa" w:w="7705"/>
            <w:tcMar>
              <w:top w:w="140" w:type="dxa"/>
              <w:start w:w="160" w:type="dxa"/>
              <w:bottom w:w="140" w:type="dxa"/>
              <w:end w:w="160" w:type="dxa"/>
            </w:tcMar>
            <w:shd w:fill="FBFCFD"/>
          </w:tcPr>
          <w:p>
            <w:pPr>
              <w:pStyle w:val="Small"/>
            </w:pPr>
            <w:r>
              <w:rPr>
                <w:rFonts w:ascii="Liberation Sans" w:hAnsi="Liberation Sans" w:eastAsia="Liberation Sans" w:cs="Liberation Sans"/>
                <w:b w:val="0"/>
                <w:color w:val="263442"/>
                <w:sz w:val="16"/>
              </w:rPr>
              <w:t>2 — Spécification technique / 3 — Plan des preuves de validation.</w:t>
            </w:r>
          </w:p>
        </w:tc>
      </w:tr>
      <w:tr>
        <w:tc>
          <w:tcPr>
            <w:tcW w:type="dxa" w:w="2301"/>
            <w:tcMar>
              <w:top w:w="140" w:type="dxa"/>
              <w:start w:w="160" w:type="dxa"/>
              <w:bottom w:w="140" w:type="dxa"/>
              <w:end w:w="160" w:type="dxa"/>
            </w:tcMar>
            <w:shd w:fill="F1F5F8"/>
          </w:tcPr>
          <w:p>
            <w:pPr>
              <w:pStyle w:val="Small"/>
            </w:pPr>
            <w:r>
              <w:rPr>
                <w:rFonts w:ascii="Liberation Sans" w:hAnsi="Liberation Sans" w:eastAsia="Liberation Sans" w:cs="Liberation Sans"/>
                <w:b/>
                <w:color w:val="142B46"/>
                <w:sz w:val="16"/>
              </w:rPr>
              <w:t>AUTORITÉ</w:t>
            </w:r>
          </w:p>
        </w:tc>
        <w:tc>
          <w:tcPr>
            <w:tcW w:type="dxa" w:w="7705"/>
            <w:tcMar>
              <w:top w:w="140" w:type="dxa"/>
              <w:start w:w="160" w:type="dxa"/>
              <w:bottom w:w="140" w:type="dxa"/>
              <w:end w:w="160" w:type="dxa"/>
            </w:tcMar>
            <w:shd w:fill="FBFCFD"/>
          </w:tcPr>
          <w:p>
            <w:pPr>
              <w:pStyle w:val="Small"/>
            </w:pPr>
            <w:r>
              <w:rPr>
                <w:rFonts w:ascii="Liberation Sans" w:hAnsi="Liberation Sans" w:eastAsia="Liberation Sans" w:cs="Liberation Sans"/>
                <w:b w:val="0"/>
                <w:color w:val="263442"/>
                <w:sz w:val="16"/>
              </w:rPr>
              <w:t>Subordonné à la Définition officielle de référence V2.1.</w:t>
            </w:r>
          </w:p>
        </w:tc>
      </w:tr>
      <w:tr>
        <w:tc>
          <w:tcPr>
            <w:tcW w:type="dxa" w:w="2301"/>
            <w:tcMar>
              <w:top w:w="140" w:type="dxa"/>
              <w:start w:w="160" w:type="dxa"/>
              <w:bottom w:w="140" w:type="dxa"/>
              <w:end w:w="160" w:type="dxa"/>
            </w:tcMar>
            <w:shd w:fill="F1F5F8"/>
          </w:tcPr>
          <w:p>
            <w:pPr>
              <w:pStyle w:val="Small"/>
            </w:pPr>
            <w:r>
              <w:rPr>
                <w:rFonts w:ascii="Liberation Sans" w:hAnsi="Liberation Sans" w:eastAsia="Liberation Sans" w:cs="Liberation Sans"/>
                <w:b/>
                <w:color w:val="142B46"/>
                <w:sz w:val="16"/>
              </w:rPr>
              <w:t>RÉF. DÉPÔT</w:t>
            </w:r>
          </w:p>
        </w:tc>
        <w:tc>
          <w:tcPr>
            <w:tcW w:type="dxa" w:w="7705"/>
            <w:tcMar>
              <w:top w:w="140" w:type="dxa"/>
              <w:start w:w="160" w:type="dxa"/>
              <w:bottom w:w="140" w:type="dxa"/>
              <w:end w:w="160" w:type="dxa"/>
            </w:tcMar>
            <w:shd w:fill="FBFCFD"/>
          </w:tcPr>
          <w:p>
            <w:pPr>
              <w:pStyle w:val="Small"/>
            </w:pPr>
            <w:r>
              <w:rPr>
                <w:rFonts w:ascii="Liberation Sans" w:hAnsi="Liberation Sans" w:eastAsia="Liberation Sans" w:cs="Liberation Sans"/>
                <w:b w:val="0"/>
                <w:color w:val="263442"/>
                <w:sz w:val="16"/>
              </w:rPr>
              <w:t>Fadi main · commit 3bcda929… (audit historique du 14/10/2026).</w:t>
            </w:r>
          </w:p>
        </w:tc>
      </w:tr>
    </w:tbl>
    <w:p>
      <w:pPr>
        <w:pStyle w:val="Small"/>
        <w:spacing w:before="360"/>
      </w:pPr>
      <w:r>
        <w:rPr>
          <w:rFonts w:ascii="Liberation Sans" w:hAnsi="Liberation Sans" w:eastAsia="Liberation Sans" w:cs="Liberation Sans"/>
          <w:color w:val="617384"/>
          <w:sz w:val="17"/>
        </w:rPr>
        <w:t>Portée : produit cible proposé • contrats vérifiables • décisions ouvertes • observations historiques séparées.</w:t>
      </w:r>
    </w:p>
    <w:p>
      <w:r>
        <w:br w:type="page"/>
      </w:r>
    </w:p>
    <w:p>
      <w:pPr>
        <w:pStyle w:val="H1"/>
      </w:pPr>
      <w:r>
        <w:t>Sommaire</w:t>
      </w:r>
    </w:p>
    <w:p>
      <w:pPr>
        <w:pStyle w:val="Small"/>
      </w:pPr>
      <w:r>
        <w:t>Les numéros de chapitre sont stables et repris dans les références EX / IF / AC / TEST / DEC. Dans Word, utiliser également le volet Navigation pour accéder aux sections.</w:t>
      </w:r>
    </w:p>
    <w:tbl>
      <w:tblPr>
        <w:tblW w:type="auto" w:w="0"/>
        <w:tblLayout w:type="fixed"/>
        <w:tblLook w:firstColumn="1" w:firstRow="1" w:lastColumn="0" w:lastRow="0" w:noHBand="0" w:noVBand="1" w:val="04A0"/>
      </w:tblPr>
      <w:tblGrid>
        <w:gridCol w:w="5003"/>
        <w:gridCol w:w="5003"/>
      </w:tblGrid>
      <w:tr>
        <w:trPr>
          <w:tblHeader w:val="true"/>
        </w:trP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0.  </w:t>
            </w:r>
            <w:r>
              <w:rPr>
                <w:rFonts w:ascii="Liberation Sans" w:hAnsi="Liberation Sans" w:eastAsia="Liberation Sans" w:cs="Liberation Sans"/>
                <w:color w:val="263442"/>
                <w:sz w:val="18"/>
              </w:rPr>
              <w:t>Statut, conventions et règles de lecture</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13.  </w:t>
            </w:r>
            <w:r>
              <w:rPr>
                <w:rFonts w:ascii="Liberation Sans" w:hAnsi="Liberation Sans" w:eastAsia="Liberation Sans" w:cs="Liberation Sans"/>
                <w:color w:val="263442"/>
                <w:sz w:val="18"/>
              </w:rPr>
              <w:t>Visualisation, rendu, immersion et IA</w:t>
            </w:r>
          </w:p>
        </w:tc>
      </w:tr>
      <w:t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1.  </w:t>
            </w:r>
            <w:r>
              <w:rPr>
                <w:rFonts w:ascii="Liberation Sans" w:hAnsi="Liberation Sans" w:eastAsia="Liberation Sans" w:cs="Liberation Sans"/>
                <w:color w:val="263442"/>
                <w:sz w:val="18"/>
              </w:rPr>
              <w:t>Périmètre du produit et architecture des domaines</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14.  </w:t>
            </w:r>
            <w:r>
              <w:rPr>
                <w:rFonts w:ascii="Liberation Sans" w:hAnsi="Liberation Sans" w:eastAsia="Liberation Sans" w:cs="Liberation Sans"/>
                <w:color w:val="263442"/>
                <w:sz w:val="18"/>
              </w:rPr>
              <w:t>Documentation, métrés, interopérabilité et publication</w:t>
            </w:r>
          </w:p>
        </w:tc>
      </w:tr>
      <w:t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2.  </w:t>
            </w:r>
            <w:r>
              <w:rPr>
                <w:rFonts w:ascii="Liberation Sans" w:hAnsi="Liberation Sans" w:eastAsia="Liberation Sans" w:cs="Liberation Sans"/>
                <w:color w:val="263442"/>
                <w:sz w:val="18"/>
              </w:rPr>
              <w:t>Architecture logique, responsabilités et flux</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15.  </w:t>
            </w:r>
            <w:r>
              <w:rPr>
                <w:rFonts w:ascii="Liberation Sans" w:hAnsi="Liberation Sans" w:eastAsia="Liberation Sans" w:cs="Liberation Sans"/>
                <w:color w:val="263442"/>
                <w:sz w:val="18"/>
              </w:rPr>
              <w:t>Workflow, collaboration et permissions</w:t>
            </w:r>
          </w:p>
        </w:tc>
      </w:tr>
      <w:t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3.  </w:t>
            </w:r>
            <w:r>
              <w:rPr>
                <w:rFonts w:ascii="Liberation Sans" w:hAnsi="Liberation Sans" w:eastAsia="Liberation Sans" w:cs="Liberation Sans"/>
                <w:color w:val="263442"/>
                <w:sz w:val="18"/>
              </w:rPr>
              <w:t>Modèle canonique et versionnement</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16.  </w:t>
            </w:r>
            <w:r>
              <w:rPr>
                <w:rFonts w:ascii="Liberation Sans" w:hAnsi="Liberation Sans" w:eastAsia="Liberation Sans" w:cs="Liberation Sans"/>
                <w:color w:val="263442"/>
                <w:sz w:val="18"/>
              </w:rPr>
              <w:t>Services d’API, persistance et intégration native</w:t>
            </w:r>
          </w:p>
        </w:tc>
      </w:tr>
      <w:t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4.  </w:t>
            </w:r>
            <w:r>
              <w:rPr>
                <w:rFonts w:ascii="Liberation Sans" w:hAnsi="Liberation Sans" w:eastAsia="Liberation Sans" w:cs="Liberation Sans"/>
                <w:color w:val="263442"/>
                <w:sz w:val="18"/>
              </w:rPr>
              <w:t>Planche 2D, Planche 3D et associations</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17.  </w:t>
            </w:r>
            <w:r>
              <w:rPr>
                <w:rFonts w:ascii="Liberation Sans" w:hAnsi="Liberation Sans" w:eastAsia="Liberation Sans" w:cs="Liberation Sans"/>
                <w:color w:val="263442"/>
                <w:sz w:val="18"/>
              </w:rPr>
              <w:t>Sécurité, confidentialité et chaîne d’approvisionnement</w:t>
            </w:r>
          </w:p>
        </w:tc>
      </w:tr>
      <w:t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5.  </w:t>
            </w:r>
            <w:r>
              <w:rPr>
                <w:rFonts w:ascii="Liberation Sans" w:hAnsi="Liberation Sans" w:eastAsia="Liberation Sans" w:cs="Liberation Sans"/>
                <w:color w:val="263442"/>
                <w:sz w:val="18"/>
              </w:rPr>
              <w:t>Tool Registry — spécification du catalogue</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18.  </w:t>
            </w:r>
            <w:r>
              <w:rPr>
                <w:rFonts w:ascii="Liberation Sans" w:hAnsi="Liberation Sans" w:eastAsia="Liberation Sans" w:cs="Liberation Sans"/>
                <w:color w:val="263442"/>
                <w:sz w:val="18"/>
              </w:rPr>
              <w:t>Performance, profils de charge et protocole de mesure</w:t>
            </w:r>
          </w:p>
        </w:tc>
      </w:tr>
      <w:t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6.  </w:t>
            </w:r>
            <w:r>
              <w:rPr>
                <w:rFonts w:ascii="Liberation Sans" w:hAnsi="Liberation Sans" w:eastAsia="Liberation Sans" w:cs="Liberation Sans"/>
                <w:color w:val="263442"/>
                <w:sz w:val="18"/>
              </w:rPr>
              <w:t>Tool Manager — sélection, profils et ergonomie</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19.  </w:t>
            </w:r>
            <w:r>
              <w:rPr>
                <w:rFonts w:ascii="Liberation Sans" w:hAnsi="Liberation Sans" w:eastAsia="Liberation Sans" w:cs="Liberation Sans"/>
                <w:color w:val="263442"/>
                <w:sz w:val="18"/>
              </w:rPr>
              <w:t>Stratégie d’essais, critères d’acceptation et preuves</w:t>
            </w:r>
          </w:p>
        </w:tc>
      </w:tr>
      <w:t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7.  </w:t>
            </w:r>
            <w:r>
              <w:rPr>
                <w:rFonts w:ascii="Liberation Sans" w:hAnsi="Liberation Sans" w:eastAsia="Liberation Sans" w:cs="Liberation Sans"/>
                <w:color w:val="263442"/>
                <w:sz w:val="18"/>
              </w:rPr>
              <w:t>Chargement modulaire, cache et mode hors connexion</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20.  </w:t>
            </w:r>
            <w:r>
              <w:rPr>
                <w:rFonts w:ascii="Liberation Sans" w:hAnsi="Liberation Sans" w:eastAsia="Liberation Sans" w:cs="Liberation Sans"/>
                <w:color w:val="263442"/>
                <w:sz w:val="18"/>
              </w:rPr>
              <w:t>Traçabilité bidirectionnelle des exigences et décisions</w:t>
            </w:r>
          </w:p>
        </w:tc>
      </w:tr>
      <w:t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8.  </w:t>
            </w:r>
            <w:r>
              <w:rPr>
                <w:rFonts w:ascii="Liberation Sans" w:hAnsi="Liberation Sans" w:eastAsia="Liberation Sans" w:cs="Liberation Sans"/>
                <w:color w:val="263442"/>
                <w:sz w:val="18"/>
              </w:rPr>
              <w:t>Contrat des commandes, transactions, historique et collaboration</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21.  </w:t>
            </w:r>
            <w:r>
              <w:rPr>
                <w:rFonts w:ascii="Liberation Sans" w:hAnsi="Liberation Sans" w:eastAsia="Liberation Sans" w:cs="Liberation Sans"/>
                <w:color w:val="263442"/>
                <w:sz w:val="18"/>
              </w:rPr>
              <w:t>Analyse d’écarts, migration et plan de réalisation conditionnel</w:t>
            </w:r>
          </w:p>
        </w:tc>
      </w:tr>
      <w:t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9.  </w:t>
            </w:r>
            <w:r>
              <w:rPr>
                <w:rFonts w:ascii="Liberation Sans" w:hAnsi="Liberation Sans" w:eastAsia="Liberation Sans" w:cs="Liberation Sans"/>
                <w:color w:val="263442"/>
                <w:sz w:val="18"/>
              </w:rPr>
              <w:t>Projection de scène, invalidation et indexation spatiale</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Annexe A.  </w:t>
            </w:r>
            <w:r>
              <w:rPr>
                <w:rFonts w:ascii="Liberation Sans" w:hAnsi="Liberation Sans" w:eastAsia="Liberation Sans" w:cs="Liberation Sans"/>
                <w:color w:val="263442"/>
                <w:sz w:val="18"/>
              </w:rPr>
              <w:t>État observé de Fadi — non normatif</w:t>
            </w:r>
          </w:p>
        </w:tc>
      </w:tr>
      <w:t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10.  </w:t>
            </w:r>
            <w:r>
              <w:rPr>
                <w:rFonts w:ascii="Liberation Sans" w:hAnsi="Liberation Sans" w:eastAsia="Liberation Sans" w:cs="Liberation Sans"/>
                <w:color w:val="263442"/>
                <w:sz w:val="18"/>
              </w:rPr>
              <w:t>Moteurs de rendu 2D/3D, précision et qualité adaptative</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Annexe B.  </w:t>
            </w:r>
            <w:r>
              <w:rPr>
                <w:rFonts w:ascii="Liberation Sans" w:hAnsi="Liberation Sans" w:eastAsia="Liberation Sans" w:cs="Liberation Sans"/>
                <w:color w:val="263442"/>
                <w:sz w:val="18"/>
              </w:rPr>
              <w:t>Registre des décisions ouvertes</w:t>
            </w:r>
          </w:p>
        </w:tc>
      </w:tr>
      <w:t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11.  </w:t>
            </w:r>
            <w:r>
              <w:rPr>
                <w:rFonts w:ascii="Liberation Sans" w:hAnsi="Liberation Sans" w:eastAsia="Liberation Sans" w:cs="Liberation Sans"/>
                <w:color w:val="263442"/>
                <w:sz w:val="18"/>
              </w:rPr>
              <w:t>Workers, WASM, ordonnanceur et résilience</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Annexe C.  </w:t>
            </w:r>
            <w:r>
              <w:rPr>
                <w:rFonts w:ascii="Liberation Sans" w:hAnsi="Liberation Sans" w:eastAsia="Liberation Sans" w:cs="Liberation Sans"/>
                <w:color w:val="263442"/>
                <w:sz w:val="18"/>
              </w:rPr>
              <w:t>Fiches d’outils détaillées — exemples de contrats</w:t>
            </w:r>
          </w:p>
        </w:tc>
      </w:tr>
      <w:tr>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12.  </w:t>
            </w:r>
            <w:r>
              <w:rPr>
                <w:rFonts w:ascii="Liberation Sans" w:hAnsi="Liberation Sans" w:eastAsia="Liberation Sans" w:cs="Liberation Sans"/>
                <w:color w:val="263442"/>
                <w:sz w:val="18"/>
              </w:rPr>
              <w:t>BIM, coordination, exigences et contrôles</w:t>
            </w:r>
          </w:p>
        </w:tc>
        <w:tc>
          <w:tcPr>
            <w:tcW w:type="dxa" w:w="5003"/>
            <w:tcMar>
              <w:top w:w="50" w:type="dxa"/>
              <w:start w:w="70" w:type="dxa"/>
              <w:bottom w:w="50" w:type="dxa"/>
              <w:end w:w="70" w:type="dxa"/>
            </w:tcMar>
          </w:tcPr>
          <w:p>
            <w:pPr>
              <w:pStyle w:val="Outline"/>
            </w:pPr>
            <w:r>
              <w:rPr>
                <w:rFonts w:ascii="Liberation Sans" w:hAnsi="Liberation Sans" w:eastAsia="Liberation Sans" w:cs="Liberation Sans"/>
                <w:b/>
                <w:color w:val="147D88"/>
                <w:sz w:val="18"/>
              </w:rPr>
              <w:t xml:space="preserve">Annexe D.  </w:t>
            </w:r>
            <w:r>
              <w:rPr>
                <w:rFonts w:ascii="Liberation Sans" w:hAnsi="Liberation Sans" w:eastAsia="Liberation Sans" w:cs="Liberation Sans"/>
                <w:color w:val="263442"/>
                <w:sz w:val="18"/>
              </w:rPr>
              <w:t>Sources et références internes</w:t>
            </w:r>
          </w:p>
        </w:tc>
      </w:tr>
    </w:tbl>
    <w:p>
      <w:pPr>
        <w:pStyle w:val="H2"/>
      </w:pPr>
      <w:r>
        <w:t>Méthode de lecture</w:t>
      </w:r>
    </w:p>
    <w:p>
      <w:pPr>
        <w:pStyle w:val="Body"/>
      </w:pPr>
      <w:r>
        <w:t>Le texte distingue les exigences proposées (EX), invariants (INV), contrats (IF), critères d’acceptation (AC), scénarios de test (TEST), décisions ouvertes (DEC) et observations historiques (OBS). Les cibles sont décrites avec précision ; leur conformité n’est jamais présumée. La matrice de traçabilité et les sources figurent aux chapitres 20 et aux annexes.</w:t>
      </w:r>
    </w:p>
    <w:p>
      <w:r>
        <w:br w:type="page"/>
      </w:r>
    </w:p>
    <w:p>
      <w:pPr>
        <w:pStyle w:val="H1"/>
        <w:pageBreakBefore w:val="0"/>
        <w:spacing w:before="0"/>
        <w:pBdr>
          <w:bottom w:val="single" w:sz="12" w:space="6" w:color="147D88"/>
        </w:pBdr>
      </w:pPr>
      <w:r>
        <w:t>0. Statut, conventions et règles de lecture</w:t>
      </w:r>
    </w:p>
    <w:p>
      <w:pPr>
        <w:pStyle w:val="H2"/>
      </w:pPr>
      <w:r>
        <w:t>0.1. Hiérarchie documentaire</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Niveau</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Document</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Portée et autorité</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1 — Charte produit</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Définition officielle V2.1</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Finalité, périmètre, quatre domaines, deux planches et invariants. Elle prévaut en cas de contradiction de principe.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2 — Référentiel technique (présent document)</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STUDIO-RT-001</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Obligations fonctionnelles et techniques proposées, modèles logiques, interfaces, critères d’acceptation et options explicitement ouvertes.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3 — Dossier de validation</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Matrices et rapports à produire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Scénarios exécutés, métriques, preuves, conformité et décisions approuvées. Un test prescrit ne constitue pas une preuve d’exécution.</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Information non normative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Audits du dépôt, benchmarks historiques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État observé sur un commit ; ne devient pas automatiquement une exigence ni une preuve de conformité de la cible.</w:t>
            </w:r>
          </w:p>
        </w:tc>
      </w:tr>
    </w:tbl>
    <w:p>
      <w:pPr>
        <w:spacing w:after="40" w:before="0"/>
      </w:pPr>
    </w:p>
    <w:p>
      <w:pPr>
        <w:pStyle w:val="Body"/>
      </w:pPr>
      <w:r>
        <w:t xml:space="preserve">Le présent document est la </w:t>
      </w:r>
      <w:r>
        <w:rPr>
          <w:b/>
          <w:i w:val="0"/>
        </w:rPr>
        <w:t>seule spécification technique de travail</w:t>
      </w:r>
      <w:r>
        <w:t>. Il ne crée pas de deuxième charte produit. Les divergences avec le niveau 1 sont consignées et arbitrées, sans modification silencieuse d’un principe. Les décisions non instruites restent ouvertes.</w:t>
      </w:r>
    </w:p>
    <w:p>
      <w:pPr>
        <w:pStyle w:val="H2"/>
      </w:pPr>
      <w:r>
        <w:t>0.2. Légende normative et identifiants</w:t>
      </w:r>
    </w:p>
    <w:p>
      <w:pPr>
        <w:pStyle w:val="BulletCustom"/>
        <w:ind w:left="369" w:hanging="193"/>
      </w:pPr>
      <w:r>
        <w:rPr>
          <w:rFonts w:ascii="Liberation Sans" w:hAnsi="Liberation Sans" w:eastAsia="Liberation Sans" w:cs="Liberation Sans"/>
          <w:b w:val="0"/>
          <w:color w:val="147D88"/>
          <w:sz w:val="18"/>
        </w:rPr>
        <w:t xml:space="preserve">•  </w:t>
      </w:r>
      <w:r>
        <w:rPr>
          <w:b/>
          <w:i w:val="0"/>
        </w:rPr>
        <w:t>EX-xxx</w:t>
      </w:r>
      <w:r>
        <w:t xml:space="preserve"> : exigence cible à vérifier ; « doit » exprime une obligation </w:t>
      </w:r>
      <w:r>
        <w:rPr>
          <w:b w:val="0"/>
          <w:i/>
        </w:rPr>
        <w:t>si la cible est approuvée</w:t>
      </w:r>
      <w:r>
        <w:t>, pas un constat de fonctionnalité déjà livrée.</w:t>
      </w:r>
    </w:p>
    <w:p>
      <w:pPr>
        <w:pStyle w:val="BulletCustom"/>
        <w:ind w:left="369" w:hanging="193"/>
      </w:pPr>
      <w:r>
        <w:rPr>
          <w:rFonts w:ascii="Liberation Sans" w:hAnsi="Liberation Sans" w:eastAsia="Liberation Sans" w:cs="Liberation Sans"/>
          <w:b w:val="0"/>
          <w:color w:val="147D88"/>
          <w:sz w:val="18"/>
        </w:rPr>
        <w:t xml:space="preserve">•  </w:t>
      </w:r>
      <w:r>
        <w:rPr>
          <w:b/>
          <w:i w:val="0"/>
        </w:rPr>
        <w:t>INV-xxx</w:t>
      </w:r>
      <w:r>
        <w:t xml:space="preserve"> : invariant de données ou de comportement à préserver à tout moment.</w:t>
      </w:r>
    </w:p>
    <w:p>
      <w:pPr>
        <w:pStyle w:val="BulletCustom"/>
        <w:ind w:left="369" w:hanging="193"/>
      </w:pPr>
      <w:r>
        <w:rPr>
          <w:rFonts w:ascii="Liberation Sans" w:hAnsi="Liberation Sans" w:eastAsia="Liberation Sans" w:cs="Liberation Sans"/>
          <w:b w:val="0"/>
          <w:color w:val="147D88"/>
          <w:sz w:val="18"/>
        </w:rPr>
        <w:t xml:space="preserve">•  </w:t>
      </w:r>
      <w:r>
        <w:rPr>
          <w:b/>
          <w:i w:val="0"/>
        </w:rPr>
        <w:t>IF-xxx</w:t>
      </w:r>
      <w:r>
        <w:t xml:space="preserve"> : contrat d’interface ou d’échange ; son format concret (REST, événement, interface TS) peut rester ouvert.</w:t>
      </w:r>
    </w:p>
    <w:p>
      <w:pPr>
        <w:pStyle w:val="BulletCustom"/>
        <w:ind w:left="369" w:hanging="193"/>
      </w:pPr>
      <w:r>
        <w:rPr>
          <w:rFonts w:ascii="Liberation Sans" w:hAnsi="Liberation Sans" w:eastAsia="Liberation Sans" w:cs="Liberation Sans"/>
          <w:b w:val="0"/>
          <w:color w:val="147D88"/>
          <w:sz w:val="18"/>
        </w:rPr>
        <w:t xml:space="preserve">•  </w:t>
      </w:r>
      <w:r>
        <w:rPr>
          <w:b/>
          <w:i w:val="0"/>
        </w:rPr>
        <w:t>AC-xxx</w:t>
      </w:r>
      <w:r>
        <w:t xml:space="preserve"> : critère d’acceptation observable ; son exécution future doit être documentée.</w:t>
      </w:r>
    </w:p>
    <w:p>
      <w:pPr>
        <w:pStyle w:val="BulletCustom"/>
        <w:ind w:left="369" w:hanging="193"/>
      </w:pPr>
      <w:r>
        <w:rPr>
          <w:rFonts w:ascii="Liberation Sans" w:hAnsi="Liberation Sans" w:eastAsia="Liberation Sans" w:cs="Liberation Sans"/>
          <w:b w:val="0"/>
          <w:color w:val="147D88"/>
          <w:sz w:val="18"/>
        </w:rPr>
        <w:t xml:space="preserve">•  </w:t>
      </w:r>
      <w:r>
        <w:rPr>
          <w:b/>
          <w:i w:val="0"/>
        </w:rPr>
        <w:t>TEST-xxx</w:t>
      </w:r>
      <w:r>
        <w:t xml:space="preserve"> : scénario reproductible à réaliser ; un résultat « prévu » n’est pas un résultat « réussi ».</w:t>
      </w:r>
    </w:p>
    <w:p>
      <w:pPr>
        <w:pStyle w:val="BulletCustom"/>
        <w:ind w:left="369" w:hanging="193"/>
      </w:pPr>
      <w:r>
        <w:rPr>
          <w:rFonts w:ascii="Liberation Sans" w:hAnsi="Liberation Sans" w:eastAsia="Liberation Sans" w:cs="Liberation Sans"/>
          <w:b w:val="0"/>
          <w:color w:val="147D88"/>
          <w:sz w:val="18"/>
        </w:rPr>
        <w:t xml:space="preserve">•  </w:t>
      </w:r>
      <w:r>
        <w:rPr>
          <w:b/>
          <w:i w:val="0"/>
        </w:rPr>
        <w:t>DEC-xx</w:t>
      </w:r>
      <w:r>
        <w:t xml:space="preserve"> : décision d’architecture ouverte, avec preuve ou arbitrage exigé.</w:t>
      </w:r>
    </w:p>
    <w:p>
      <w:pPr>
        <w:pStyle w:val="BulletCustom"/>
        <w:ind w:left="369" w:hanging="193"/>
      </w:pPr>
      <w:r>
        <w:rPr>
          <w:rFonts w:ascii="Liberation Sans" w:hAnsi="Liberation Sans" w:eastAsia="Liberation Sans" w:cs="Liberation Sans"/>
          <w:b w:val="0"/>
          <w:color w:val="147D88"/>
          <w:sz w:val="18"/>
        </w:rPr>
        <w:t xml:space="preserve">•  </w:t>
      </w:r>
      <w:r>
        <w:rPr>
          <w:b/>
          <w:i w:val="0"/>
        </w:rPr>
        <w:t>OBS-xx</w:t>
      </w:r>
      <w:r>
        <w:t xml:space="preserve"> : observation historique issue des sources ; non normative et à reverifier sur le commit de réalisation.</w:t>
      </w:r>
    </w:p>
    <w:p>
      <w:pPr>
        <w:pStyle w:val="Body"/>
      </w:pPr>
      <w:r>
        <w:rPr>
          <w:b/>
          <w:i w:val="0"/>
        </w:rPr>
        <w:t>Statuts de vérification :</w:t>
      </w:r>
      <w:r>
        <w:t xml:space="preserve"> </w:t>
      </w:r>
      <w:r>
        <w:rPr>
          <w:rFonts w:ascii="Liberation Mono" w:hAnsi="Liberation Mono" w:eastAsia="Liberation Mono" w:cs="Liberation Mono"/>
          <w:b w:val="0"/>
          <w:color w:val="147D88"/>
          <w:sz w:val="15"/>
        </w:rPr>
        <w:t>non spécifié</w:t>
      </w:r>
      <w:r>
        <w:t xml:space="preserve">, </w:t>
      </w:r>
      <w:r>
        <w:rPr>
          <w:rFonts w:ascii="Liberation Mono" w:hAnsi="Liberation Mono" w:eastAsia="Liberation Mono" w:cs="Liberation Mono"/>
          <w:b w:val="0"/>
          <w:color w:val="147D88"/>
          <w:sz w:val="15"/>
        </w:rPr>
        <w:t>à instruire</w:t>
      </w:r>
      <w:r>
        <w:t xml:space="preserve">, </w:t>
      </w:r>
      <w:r>
        <w:rPr>
          <w:rFonts w:ascii="Liberation Mono" w:hAnsi="Liberation Mono" w:eastAsia="Liberation Mono" w:cs="Liberation Mono"/>
          <w:b w:val="0"/>
          <w:color w:val="147D88"/>
          <w:sz w:val="15"/>
        </w:rPr>
        <w:t>spécifié</w:t>
      </w:r>
      <w:r>
        <w:t xml:space="preserve">, </w:t>
      </w:r>
      <w:r>
        <w:rPr>
          <w:rFonts w:ascii="Liberation Mono" w:hAnsi="Liberation Mono" w:eastAsia="Liberation Mono" w:cs="Liberation Mono"/>
          <w:b w:val="0"/>
          <w:color w:val="147D88"/>
          <w:sz w:val="15"/>
        </w:rPr>
        <w:t>implémenté non vérifié</w:t>
      </w:r>
      <w:r>
        <w:t xml:space="preserve">, </w:t>
      </w:r>
      <w:r>
        <w:rPr>
          <w:rFonts w:ascii="Liberation Mono" w:hAnsi="Liberation Mono" w:eastAsia="Liberation Mono" w:cs="Liberation Mono"/>
          <w:b w:val="0"/>
          <w:color w:val="147D88"/>
          <w:sz w:val="15"/>
        </w:rPr>
        <w:t>vérifié conforme</w:t>
      </w:r>
      <w:r>
        <w:t xml:space="preserve">, </w:t>
      </w:r>
      <w:r>
        <w:rPr>
          <w:rFonts w:ascii="Liberation Mono" w:hAnsi="Liberation Mono" w:eastAsia="Liberation Mono" w:cs="Liberation Mono"/>
          <w:b w:val="0"/>
          <w:color w:val="147D88"/>
          <w:sz w:val="15"/>
        </w:rPr>
        <w:t>partiellement conforme</w:t>
      </w:r>
      <w:r>
        <w:t xml:space="preserve">, </w:t>
      </w:r>
      <w:r>
        <w:rPr>
          <w:rFonts w:ascii="Liberation Mono" w:hAnsi="Liberation Mono" w:eastAsia="Liberation Mono" w:cs="Liberation Mono"/>
          <w:b w:val="0"/>
          <w:color w:val="147D88"/>
          <w:sz w:val="15"/>
        </w:rPr>
        <w:t>défectueux</w:t>
      </w:r>
      <w:r>
        <w:t xml:space="preserve">, </w:t>
      </w:r>
      <w:r>
        <w:rPr>
          <w:rFonts w:ascii="Liberation Mono" w:hAnsi="Liberation Mono" w:eastAsia="Liberation Mono" w:cs="Liberation Mono"/>
          <w:b w:val="0"/>
          <w:color w:val="147D88"/>
          <w:sz w:val="15"/>
        </w:rPr>
        <w:t>incompatible</w:t>
      </w:r>
      <w:r>
        <w:t xml:space="preserve">, </w:t>
      </w:r>
      <w:r>
        <w:rPr>
          <w:rFonts w:ascii="Liberation Mono" w:hAnsi="Liberation Mono" w:eastAsia="Liberation Mono" w:cs="Liberation Mono"/>
          <w:b w:val="0"/>
          <w:color w:val="147D88"/>
          <w:sz w:val="15"/>
        </w:rPr>
        <w:t>non applicable justifié</w:t>
      </w:r>
      <w:r>
        <w:t>. Les statuts de conformité métier (</w:t>
      </w:r>
      <w:r>
        <w:rPr>
          <w:rFonts w:ascii="Liberation Mono" w:hAnsi="Liberation Mono" w:eastAsia="Liberation Mono" w:cs="Liberation Mono"/>
          <w:b w:val="0"/>
          <w:color w:val="147D88"/>
          <w:sz w:val="15"/>
        </w:rPr>
        <w:t>conforme</w:t>
      </w:r>
      <w:r>
        <w:t xml:space="preserve">, </w:t>
      </w:r>
      <w:r>
        <w:rPr>
          <w:rFonts w:ascii="Liberation Mono" w:hAnsi="Liberation Mono" w:eastAsia="Liberation Mono" w:cs="Liberation Mono"/>
          <w:b w:val="0"/>
          <w:color w:val="147D88"/>
          <w:sz w:val="15"/>
        </w:rPr>
        <w:t>non conforme</w:t>
      </w:r>
      <w:r>
        <w:t xml:space="preserve">, </w:t>
      </w:r>
      <w:r>
        <w:rPr>
          <w:rFonts w:ascii="Liberation Mono" w:hAnsi="Liberation Mono" w:eastAsia="Liberation Mono" w:cs="Liberation Mono"/>
          <w:b w:val="0"/>
          <w:color w:val="147D88"/>
          <w:sz w:val="15"/>
        </w:rPr>
        <w:t>non testé</w:t>
      </w:r>
      <w:r>
        <w:t xml:space="preserve">, </w:t>
      </w:r>
      <w:r>
        <w:rPr>
          <w:rFonts w:ascii="Liberation Mono" w:hAnsi="Liberation Mono" w:eastAsia="Liberation Mono" w:cs="Liberation Mono"/>
          <w:b w:val="0"/>
          <w:color w:val="147D88"/>
          <w:sz w:val="15"/>
        </w:rPr>
        <w:t>non applicable</w:t>
      </w:r>
      <w:r>
        <w:t>) restent différents des statuts d’exécution (</w:t>
      </w:r>
      <w:r>
        <w:rPr>
          <w:rFonts w:ascii="Liberation Mono" w:hAnsi="Liberation Mono" w:eastAsia="Liberation Mono" w:cs="Liberation Mono"/>
          <w:b w:val="0"/>
          <w:color w:val="147D88"/>
          <w:sz w:val="15"/>
        </w:rPr>
        <w:t>en attente</w:t>
      </w:r>
      <w:r>
        <w:t xml:space="preserve">, </w:t>
      </w:r>
      <w:r>
        <w:rPr>
          <w:rFonts w:ascii="Liberation Mono" w:hAnsi="Liberation Mono" w:eastAsia="Liberation Mono" w:cs="Liberation Mono"/>
          <w:b w:val="0"/>
          <w:color w:val="147D88"/>
          <w:sz w:val="15"/>
        </w:rPr>
        <w:t>en cours</w:t>
      </w:r>
      <w:r>
        <w:t xml:space="preserve">, </w:t>
      </w:r>
      <w:r>
        <w:rPr>
          <w:rFonts w:ascii="Liberation Mono" w:hAnsi="Liberation Mono" w:eastAsia="Liberation Mono" w:cs="Liberation Mono"/>
          <w:b w:val="0"/>
          <w:color w:val="147D88"/>
          <w:sz w:val="15"/>
        </w:rPr>
        <w:t>échec</w:t>
      </w:r>
      <w:r>
        <w:t xml:space="preserve">, </w:t>
      </w:r>
      <w:r>
        <w:rPr>
          <w:rFonts w:ascii="Liberation Mono" w:hAnsi="Liberation Mono" w:eastAsia="Liberation Mono" w:cs="Liberation Mono"/>
          <w:b w:val="0"/>
          <w:color w:val="147D88"/>
          <w:sz w:val="15"/>
        </w:rPr>
        <w:t>annulé</w:t>
      </w:r>
      <w:r>
        <w:t>).</w:t>
      </w:r>
    </w:p>
    <w:p>
      <w:pPr>
        <w:pStyle w:val="Body"/>
      </w:pPr>
      <w:r>
        <w:rPr>
          <w:b/>
          <w:i w:val="0"/>
        </w:rPr>
        <w:t>Convention de seuil :</w:t>
      </w:r>
      <w:r>
        <w:t xml:space="preserve"> un objectif chiffré inconnu est noté </w:t>
      </w:r>
      <w:r>
        <w:rPr>
          <w:b/>
          <w:i w:val="0"/>
        </w:rPr>
        <w:t>« à fixer après mesure »</w:t>
      </w:r>
      <w:r>
        <w:t xml:space="preserve">, jamais remplacé par une valeur arbitraire. Les exemples de schémas ci-après sont des </w:t>
      </w:r>
      <w:r>
        <w:rPr>
          <w:b/>
          <w:i w:val="0"/>
        </w:rPr>
        <w:t>contrats logiques illustratifs</w:t>
      </w:r>
      <w:r>
        <w:t>, pas la description d’une API déjà implantée. Les unités sont explicites, les coordonnées possèdent un repère et une précision définis par contrat.</w:t>
      </w:r>
    </w:p>
    <w:p>
      <w:pPr>
        <w:pStyle w:val="H2"/>
      </w:pPr>
      <w:r>
        <w:t>0.3. Critères de décision et portes de qualité</w:t>
      </w:r>
    </w:p>
    <w:p>
      <w:pPr>
        <w:pStyle w:val="Body"/>
      </w:pPr>
      <w:r>
        <w:rPr>
          <w:b/>
          <w:i w:val="0"/>
        </w:rPr>
        <w:t>Porte G0 — cadrage :</w:t>
      </w:r>
      <w:r>
        <w:t xml:space="preserve"> la charte produit est approuvée et les usages prioritaires sont identifiés. </w:t>
      </w:r>
      <w:r>
        <w:rPr>
          <w:b/>
          <w:i w:val="0"/>
        </w:rPr>
        <w:t>G1 — spécification :</w:t>
      </w:r>
      <w:r>
        <w:t xml:space="preserve"> invariants, modèles, interfaces et risques critiques sont décrits. </w:t>
      </w:r>
      <w:r>
        <w:rPr>
          <w:b/>
          <w:i w:val="0"/>
        </w:rPr>
        <w:t>G2 — preuves :</w:t>
      </w:r>
      <w:r>
        <w:t xml:space="preserve"> POC ciblés, tests de non-régression et mesures représentatives sont disponibles. </w:t>
      </w:r>
      <w:r>
        <w:rPr>
          <w:b/>
          <w:i w:val="0"/>
        </w:rPr>
        <w:t>G3 — architecture :</w:t>
      </w:r>
      <w:r>
        <w:t xml:space="preserve"> arbitrages, migrations, dépendances et retour arrière sont décidés. </w:t>
      </w:r>
      <w:r>
        <w:rPr>
          <w:b/>
          <w:i w:val="0"/>
        </w:rPr>
        <w:t>G4 — livraison :</w:t>
      </w:r>
      <w:r>
        <w:t xml:space="preserve"> la version testée satisfait les critères d’acceptation et possède une décision d’autorisation distincte.</w:t>
      </w:r>
    </w:p>
    <w:p>
      <w:pPr>
        <w:pStyle w:val="Body"/>
      </w:pPr>
      <w:r>
        <w:t xml:space="preserve">Une validation de concept ne vaut ni acceptation d’un risque technique, ni autorisation de déploiement. Un résultat performant qui corrompt des références géométriques ou modifie le contenu approuvé est </w:t>
      </w:r>
      <w:r>
        <w:rPr>
          <w:b/>
          <w:i w:val="0"/>
        </w:rPr>
        <w:t>éliminatoire</w:t>
      </w:r>
      <w:r>
        <w:t>, même si la moyenne des mesures est favorable.</w:t>
      </w:r>
    </w:p>
    <w:p>
      <w:pPr>
        <w:pStyle w:val="H1"/>
        <w:pageBreakBefore w:val="0"/>
        <w:spacing w:before="240"/>
        <w:pBdr>
          <w:bottom w:val="single" w:sz="12" w:space="6" w:color="147D88"/>
        </w:pBdr>
      </w:pPr>
      <w:r>
        <w:t>1. Périmètre du produit et architecture des domaines</w:t>
      </w:r>
    </w:p>
    <w:p>
      <w:pPr>
        <w:pStyle w:val="H2"/>
      </w:pPr>
      <w:r>
        <w:t>1.1. Mission et autonomie</w:t>
      </w:r>
    </w:p>
    <w:p>
      <w:pPr>
        <w:pStyle w:val="Body"/>
      </w:pPr>
      <w:r>
        <w:rPr>
          <w:b/>
          <w:i w:val="0"/>
        </w:rPr>
        <w:t>EX-001 — Autonomie native.</w:t>
      </w:r>
      <w:r>
        <w:t xml:space="preserve"> Le Studio permet de créer, ouvrir, modifier, contrôler et documenter une étude rattachée à un projet Fadi </w:t>
      </w:r>
      <w:r>
        <w:rPr>
          <w:b/>
          <w:i w:val="0"/>
        </w:rPr>
        <w:t>sans suivre préalablement les 21 étapes du Parcours</w:t>
      </w:r>
      <w:r>
        <w:t>. Il réutilise les services généraux autorisés de Fadi plutôt que de créer une deuxième gestion d’utilisateurs, une deuxième base métier ou un deuxième annuaire de documents.</w:t>
      </w:r>
    </w:p>
    <w:p>
      <w:pPr>
        <w:pStyle w:val="Body"/>
      </w:pPr>
      <w:r>
        <w:rPr>
          <w:b/>
          <w:i w:val="0"/>
        </w:rPr>
        <w:t>EX-002 — Périmètre.</w:t>
      </w:r>
      <w:r>
        <w:t xml:space="preserve"> Les objets traités concernent la conception architecturale : dessin, modèles, BIM, rendu, métrés, coordination, observations, révisions et livrables. La comptabilité, la gestion RH, le commerce, la direction quotidienne des travaux, les réserves de chantier et l’exploitation restent hors responsabilité du Studio.</w:t>
      </w:r>
    </w:p>
    <w:p>
      <w:pPr>
        <w:pStyle w:val="Body"/>
      </w:pPr>
      <w:r>
        <w:rPr>
          <w:b/>
          <w:i w:val="0"/>
        </w:rPr>
        <w:t>EX-003 — Contexte constant.</w:t>
      </w:r>
      <w:r>
        <w:t xml:space="preserve"> Toute surface de travail ou action persistante porte les identifiants </w:t>
      </w:r>
      <w:r>
        <w:rPr>
          <w:rFonts w:ascii="Liberation Mono" w:hAnsi="Liberation Mono" w:eastAsia="Liberation Mono" w:cs="Liberation Mono"/>
          <w:b w:val="0"/>
          <w:color w:val="147D88"/>
          <w:sz w:val="15"/>
        </w:rPr>
        <w:t>projectId</w:t>
      </w:r>
      <w:r>
        <w:t xml:space="preserve">, </w:t>
      </w:r>
      <w:r>
        <w:rPr>
          <w:rFonts w:ascii="Liberation Mono" w:hAnsi="Liberation Mono" w:eastAsia="Liberation Mono" w:cs="Liberation Mono"/>
          <w:b w:val="0"/>
          <w:color w:val="147D88"/>
          <w:sz w:val="15"/>
        </w:rPr>
        <w:t>studyId</w:t>
      </w:r>
      <w:r>
        <w:t xml:space="preserve">, </w:t>
      </w:r>
      <w:r>
        <w:rPr>
          <w:rFonts w:ascii="Liberation Mono" w:hAnsi="Liberation Mono" w:eastAsia="Liberation Mono" w:cs="Liberation Mono"/>
          <w:b w:val="0"/>
          <w:color w:val="147D88"/>
          <w:sz w:val="15"/>
        </w:rPr>
        <w:t>variantId</w:t>
      </w:r>
      <w:r>
        <w:t xml:space="preserve"> et la version de base. Le projet et l’étude peuvent exister avant la première variante, mais aucune géométrie éditée ne doit être dépourvue de variante propriétaire.</w:t>
      </w:r>
    </w:p>
    <w:p>
      <w:pPr>
        <w:pStyle w:val="H2"/>
      </w:pPr>
      <w:r>
        <w:t>1.2. Quatre domaines, deux planches, un workflow</w:t>
      </w:r>
    </w:p>
    <w:tbl>
      <w:tblPr>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601"/>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Domaine</w:t>
            </w:r>
          </w:p>
        </w:tc>
        <w:tc>
          <w:tcPr>
            <w:tcW w:type="dxa" w:w="24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Responsabilité propriétaire</w:t>
            </w:r>
          </w:p>
        </w:tc>
        <w:tc>
          <w:tcPr>
            <w:tcW w:type="dxa" w:w="3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Contenus produits</w:t>
            </w:r>
          </w:p>
        </w:tc>
        <w:tc>
          <w:tcPr>
            <w:tcW w:type="dxa" w:w="25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Frontière à ne pas franchir</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4"/>
              </w:rPr>
              <w:t>D1 Dessin et modélisation</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Création et modification du dessin 2D, de la géométrie 3D et des objets architecturaux.</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Dessins 2D indépendants, modèles 3D libres, objets associés, annotations de travail.</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Ne crée pas de copie BIM autoritaire ni une feuille d’impression considérée comme planche.</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4"/>
              </w:rPr>
              <w:t>D2 BIM et coordination</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Propriétés techniques, classification, références, exigences, contrôles et constats.</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Données sémantiques, rapports, résultats de contrôle et observations identifiées.</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Ne devient pas un moteur géométrique concurrent.</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4"/>
              </w:rPr>
              <w:t>D3 Visualisation, rendu et immersion</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Apparence, caméra, scène, éclairage, rendu et illustration.</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Configurations de présentation et médias versionnés.</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Ne déduit pas les dimensions ou propriétés constructives de pixels.</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4"/>
              </w:rPr>
              <w:t>D4 Documentation, métrés et collaboration</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Vues, feuilles, dossiers, quantités, annotations, tâches, revues et publications.</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Livrables et décisions attachés à des sources.</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Ne modifie pas implicitement les objets architecturaux depuis des documents dérivés.</w:t>
            </w:r>
          </w:p>
        </w:tc>
      </w:tr>
    </w:tbl>
    <w:p>
      <w:pPr>
        <w:spacing w:after="40" w:before="0"/>
      </w:pPr>
    </w:p>
    <w:p>
      <w:pPr>
        <w:pStyle w:val="Body"/>
      </w:pPr>
      <w:r>
        <w:t xml:space="preserve">Les quatre domaines sont des </w:t>
      </w:r>
      <w:r>
        <w:rPr>
          <w:b/>
          <w:i w:val="0"/>
        </w:rPr>
        <w:t>responsabilités fonctionnelles</w:t>
      </w:r>
      <w:r>
        <w:t>, non quatre bases indépendantes. Un outil peut être invoqué de plusieurs endroits sans dupliquer son opération ni l’objet auquel elle s’applique.</w:t>
      </w:r>
    </w:p>
    <w:p>
      <w:pPr>
        <w:pStyle w:val="Body"/>
      </w:pPr>
      <w:r>
        <w:rPr>
          <w:b/>
          <w:i w:val="0"/>
        </w:rPr>
        <w:t>EX-004 — Planche 2D.</w:t>
      </w:r>
      <w:r>
        <w:t xml:space="preserve"> Éditeur autonome de géométries planes, côtes, contraintes, calques et annotations. Aucun modèle 3D n’est requis pour produire et publier un dessin indépendant.</w:t>
      </w:r>
    </w:p>
    <w:p>
      <w:pPr>
        <w:pStyle w:val="Body"/>
      </w:pPr>
      <w:r>
        <w:rPr>
          <w:b/>
          <w:i w:val="0"/>
        </w:rPr>
        <w:t>EX-005 — Planche 3D.</w:t>
      </w:r>
      <w:r>
        <w:t xml:space="preserve"> Éditeur autonome de géométries spatiales, faces, solides, groupes et objets architecturaux. Sa saisie n’exige pas d’esquisse 2D préalable ; ce n’est pas une simple visionneuse.</w:t>
      </w:r>
    </w:p>
    <w:p>
      <w:pPr>
        <w:pStyle w:val="Body"/>
      </w:pPr>
      <w:r>
        <w:rPr>
          <w:b/>
          <w:i w:val="0"/>
        </w:rPr>
        <w:t>EX-006 — Conception associée.</w:t>
      </w:r>
      <w:r>
        <w:t xml:space="preserve"> Les deux planches peuvent agir sur une </w:t>
      </w:r>
      <w:r>
        <w:rPr>
          <w:b/>
          <w:i w:val="0"/>
        </w:rPr>
        <w:t>même définition architecturale</w:t>
      </w:r>
      <w:r>
        <w:t xml:space="preserve"> au moyen de commandes validées. Les trois relations — </w:t>
      </w:r>
      <w:r>
        <w:rPr>
          <w:rFonts w:ascii="Liberation Mono" w:hAnsi="Liberation Mono" w:eastAsia="Liberation Mono" w:cs="Liberation Mono"/>
          <w:b w:val="0"/>
          <w:color w:val="147D88"/>
          <w:sz w:val="15"/>
        </w:rPr>
        <w:t>associé</w:t>
      </w:r>
      <w:r>
        <w:t xml:space="preserve">, </w:t>
      </w:r>
      <w:r>
        <w:rPr>
          <w:rFonts w:ascii="Liberation Mono" w:hAnsi="Liberation Mono" w:eastAsia="Liberation Mono" w:cs="Liberation Mono"/>
          <w:b w:val="0"/>
          <w:color w:val="147D88"/>
          <w:sz w:val="15"/>
        </w:rPr>
        <w:t>référence liée</w:t>
      </w:r>
      <w:r>
        <w:t xml:space="preserve">, </w:t>
      </w:r>
      <w:r>
        <w:rPr>
          <w:rFonts w:ascii="Liberation Mono" w:hAnsi="Liberation Mono" w:eastAsia="Liberation Mono" w:cs="Liberation Mono"/>
          <w:b w:val="0"/>
          <w:color w:val="147D88"/>
          <w:sz w:val="15"/>
        </w:rPr>
        <w:t>copie indépendante</w:t>
      </w:r>
      <w:r>
        <w:t xml:space="preserve"> — sont visibles et explicites.</w:t>
      </w:r>
    </w:p>
    <w:p>
      <w:pPr>
        <w:pStyle w:val="Body"/>
      </w:pPr>
      <w:r>
        <w:rPr>
          <w:b/>
          <w:i w:val="0"/>
        </w:rPr>
        <w:t>EX-007 — Workflow transversal.</w:t>
      </w:r>
      <w:r>
        <w:t xml:space="preserve"> Le cycle </w:t>
      </w:r>
      <w:r>
        <w:rPr>
          <w:rFonts w:ascii="Liberation Mono" w:hAnsi="Liberation Mono" w:eastAsia="Liberation Mono" w:cs="Liberation Mono"/>
          <w:b w:val="0"/>
          <w:color w:val="147D88"/>
          <w:sz w:val="15"/>
        </w:rPr>
        <w:t>Cadrer → Explorer → Concevoir → Contrôler → Coordonner et corriger → Approuver → Publier</w:t>
      </w:r>
      <w:r>
        <w:t xml:space="preserve"> traverse les domaines sans devenir un cinquième module et sans remplacer le Parcours de Fadi.</w:t>
      </w:r>
    </w:p>
    <w:p>
      <w:pPr>
        <w:pStyle w:val="H2"/>
      </w:pPr>
      <w:r>
        <w:t>1.3. Intégration avec les modules Fadi</w:t>
      </w:r>
    </w:p>
    <w:tbl>
      <w:tblPr>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601"/>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Module Fadi</w:t>
            </w:r>
          </w:p>
        </w:tc>
        <w:tc>
          <w:tcPr>
            <w:tcW w:type="dxa" w:w="24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Fournit au Studio</w:t>
            </w:r>
          </w:p>
        </w:tc>
        <w:tc>
          <w:tcPr>
            <w:tcW w:type="dxa" w:w="3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Reçoit du Studio</w:t>
            </w:r>
          </w:p>
        </w:tc>
        <w:tc>
          <w:tcPr>
            <w:tcW w:type="dxa" w:w="25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Règle d’intégration</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Projets et sources</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Projet, site, fichiers et références.</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Références des études et livrables.</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Le Studio n’invente pas un projet parallèle.</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Parcours</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Contexte méthodologique facultatif.</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Résultats exploitables par une étape, si demandés.</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Passage aux 21 étapes non obligatoire.</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Programmation</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Exigences, surfaces-cibles, versions.</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Surfaces calculées et écarts sourcés.</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Une modification dessinée ne réécrit pas l’exigence.</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Analyses métier</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Règles de calcul, contrôles transverses.</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Résultats identifiés et versions.</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Aucune seconde formule contradictoire.</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Documents</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Catalogue et stockage documentaire commun.</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Vues, feuilles, fichiers et manifestes.</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Aucun export « orphelin ».</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Collaboration</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Comptes, autorisations, notifications, journaux.</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Observations, tâches et décisions métier.</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Des droits Studio peuvent préciser, pas remplacer, les droits Fadi.</w:t>
            </w:r>
          </w:p>
        </w:tc>
      </w:tr>
    </w:tbl>
    <w:p>
      <w:pPr>
        <w:spacing w:after="40" w:before="0"/>
      </w:pPr>
    </w:p>
    <w:p>
      <w:pPr>
        <w:pStyle w:val="Body"/>
      </w:pPr>
      <w:r>
        <w:rPr>
          <w:b/>
          <w:i w:val="0"/>
        </w:rPr>
        <w:t>IF-001 — Interface de rattachement projet.</w:t>
      </w:r>
      <w:r>
        <w:t xml:space="preserve"> Entrée : projet autorisé, site/sources/version, acteur ; sortie : contexte d’étude validé et identifiant stable. Échec : projet inaccessible, source non disponible, conflit de version, droits insuffisants. Le contrat physique demeure à choisir.</w:t>
      </w:r>
    </w:p>
    <w:p>
      <w:pPr>
        <w:pStyle w:val="H2"/>
      </w:pPr>
      <w:r>
        <w:t>1.4. Parcours métiers de référence</w:t>
      </w:r>
    </w:p>
    <w:tbl>
      <w:tblPr>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601"/>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Parcours</w:t>
            </w:r>
          </w:p>
        </w:tc>
        <w:tc>
          <w:tcPr>
            <w:tcW w:type="dxa" w:w="24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Déclencheur</w:t>
            </w:r>
          </w:p>
        </w:tc>
        <w:tc>
          <w:tcPr>
            <w:tcW w:type="dxa" w:w="3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Production minimale</w:t>
            </w:r>
          </w:p>
        </w:tc>
        <w:tc>
          <w:tcPr>
            <w:tcW w:type="dxa" w:w="25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Absence d’effet parasite</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4"/>
              </w:rPr>
              <w:t>A — Dessin 2D indépendant</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Nouvelle étude / Planche 2D.</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Géométrie, cote, texte, sauvegarde, vue et feuille.</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Aucun volume 3D fictif créé.</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4"/>
              </w:rPr>
              <w:t>B — Modélisation 3D indépendante</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Nouvelle étude / Planche 3D.</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Arêtes/faces, extrusion, sauvegarde, coupe ou vue 2D dérivée.</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Aucune signification BIM implicite.</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4"/>
              </w:rPr>
              <w:t>C — Conception associée</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Création ou sélection d’un objet architectural.</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Modification via 2D et 3D, métrés révisés, contrôle, observation et publication.</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Aucune copie concurrente de l’objet.</w:t>
            </w:r>
          </w:p>
        </w:tc>
      </w:tr>
    </w:tbl>
    <w:p>
      <w:pPr>
        <w:spacing w:after="40" w:before="0"/>
      </w:pPr>
    </w:p>
    <w:p>
      <w:pPr>
        <w:pStyle w:val="H1"/>
        <w:pageBreakBefore w:val="0"/>
        <w:spacing w:before="240"/>
        <w:pBdr>
          <w:bottom w:val="single" w:sz="12" w:space="6" w:color="147D88"/>
        </w:pBdr>
      </w:pPr>
      <w:r>
        <w:t>2. Architecture logique, responsabilités et flux</w:t>
      </w:r>
    </w:p>
    <w:p>
      <w:pPr>
        <w:pStyle w:val="H2"/>
      </w:pPr>
      <w:r>
        <w:t>2.1. Décomposition en couches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Couche</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Responsabilité positive</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Interdiction / limite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Interface Studio</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Quatre domaines, planches, panneaux et profils.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Ne valide pas seule les opérations centrales.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Tool Registry</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Métadonnées, contrats, versions, dépendances.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Ne contient pas les objets métier ni la géométrie courante.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Tool Manager</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Recherche, profil, activation, chargement, dispatch et cycle de vie.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Ne reproduit ni le noyau de calcul ni le validateur métier.</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Machine d’outil</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Événements, étapes du geste, aperçu, intentions de commande.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N’écrit pas directement dans la base et ne publie pas un état visuel comme modèle.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Commandes et transactions</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Validation, permissions, idempotence, effets, version, historique.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 xml:space="preserve">Aucun écrasement </w:t>
            </w:r>
            <w:r>
              <w:rPr>
                <w:rFonts w:ascii="Liberation Sans" w:hAnsi="Liberation Sans" w:eastAsia="Liberation Sans" w:cs="Liberation Sans"/>
                <w:b w:val="0"/>
                <w:color w:val="263442"/>
                <w:sz w:val="15"/>
              </w:rPr>
              <w:t>last-write-wins</w:t>
            </w:r>
            <w:r>
              <w:rPr>
                <w:rFonts w:ascii="Liberation Sans" w:hAnsi="Liberation Sans" w:eastAsia="Liberation Sans" w:cs="Liberation Sans"/>
                <w:color w:val="263442"/>
                <w:sz w:val="15"/>
              </w:rPr>
              <w:t xml:space="preserve"> par défaut sur conflit.</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Modèles canoniques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Dessin 2D, géométrie 3D, objets associés, contraintes et références.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Ne dépendent pas du format de rendu.</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Projection de scène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Géométrie visible, index, sélection, caches, invalidation.</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Reconstruisible ; jamais autorité métier.</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Moteurs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Rendu, calcul, intersection, modélisation exacte et documentaire.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Ne modifient pas seuls la définition architecturale.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Services Fadi</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Persistance, droits, révisions, publications, collaboration.</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Ne considèrent pas un profil utilisateur comme une permission.</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Adaptateur MCP (facultatif)</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Traduction de demandes IA en intentions contrôlées.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Pas d’aller-retour réseau par mouvement de pointeur.</w:t>
            </w:r>
          </w:p>
        </w:tc>
      </w:tr>
    </w:tbl>
    <w:p>
      <w:pPr>
        <w:spacing w:after="40" w:before="0"/>
      </w:pPr>
    </w:p>
    <w:p>
      <w:pPr>
        <w:pStyle w:val="Body"/>
      </w:pPr>
      <w:r>
        <w:rPr>
          <w:b/>
          <w:i w:val="0"/>
        </w:rPr>
        <w:t>EX-008 — Sens de dépendance.</w:t>
      </w:r>
      <w:r>
        <w:t xml:space="preserve"> Les interfaces invoquent les capacités, les capacités produisent des intentions, les commandes autorisées modifient le modèle canonique, puis les projections dérivées se recalculent. Une modification de scène graphique ne crée pas un changement métier sans commande.</w:t>
      </w:r>
    </w:p>
    <w:p>
      <w:pPr>
        <w:pStyle w:val="Body"/>
      </w:pPr>
      <w:r>
        <w:rPr>
          <w:b/>
          <w:i w:val="0"/>
        </w:rPr>
        <w:t>EX-009 — Propriété des données.</w:t>
      </w:r>
      <w:r>
        <w:t xml:space="preserve"> Pour chaque classe d’information, un service logique propriétaire est désigné ; les interfaces des autres domaines consomment des références et appels de commande. Un modèle ne doit pas exister en deux exemplaires autoritaires simplement parce que deux planches l’affichent.</w:t>
      </w:r>
    </w:p>
    <w:p>
      <w:pPr>
        <w:pStyle w:val="H2"/>
      </w:pPr>
      <w:r>
        <w:t>2.2. Flux interactif et flux lourd</w:t>
      </w:r>
    </w:p>
    <w:p>
      <w:pPr>
        <w:pStyle w:val="Body"/>
      </w:pPr>
      <w:r>
        <w:rPr>
          <w:b/>
          <w:i w:val="0"/>
        </w:rPr>
        <w:t>IF-002 — Geste rapide (exemple Ligne).</w:t>
      </w:r>
      <w:r>
        <w:t xml:space="preserve"> ① réception pointeur/clavier ; ② lecture de la projection/index correspondant à la révision active ; ③ calcul de snapping ; ④ affichage d’aperçu transitoire ; ⑤ confirmation ; ⑥ intention géométrique validée ; ⑦ commande idempotente ; ⑧ réponse acceptation/conflit/refus ; ⑨ invalidation limitée des données dérivées.</w:t>
      </w:r>
    </w:p>
    <w:p>
      <w:pPr>
        <w:pStyle w:val="Body"/>
      </w:pPr>
      <w:r>
        <w:rPr>
          <w:b/>
          <w:i w:val="0"/>
        </w:rPr>
        <w:t>IF-003 — Calcul lourd (exemple booléen).</w:t>
      </w:r>
      <w:r>
        <w:t xml:space="preserve"> ① collecte des paramètres ; ② capture immuable de l’identifiant de révision ; ③ soumission au gestionnaire de tâches ; ④ worker/WASM ou service serveur ; ⑤ retour </w:t>
      </w:r>
      <w:r>
        <w:rPr>
          <w:rFonts w:ascii="Liberation Mono" w:hAnsi="Liberation Mono" w:eastAsia="Liberation Mono" w:cs="Liberation Mono"/>
          <w:b w:val="0"/>
          <w:color w:val="147D88"/>
          <w:sz w:val="15"/>
        </w:rPr>
        <w:t>résultat + révision source + métriques</w:t>
      </w:r>
      <w:r>
        <w:t xml:space="preserve"> ; ⑥ vérification du contexte et des droits ; ⑦ engagement transactionnel explicite ; ⑧ mise à jour des projections. Un résultat ancien peut être conservé à titre historique, pas appliqué à une révision plus récente.</w:t>
      </w:r>
    </w:p>
    <w:p>
      <w:pPr>
        <w:pStyle w:val="H2"/>
      </w:pPr>
      <w:r>
        <w:t>2.3. Modèle d’événement et d’invalidation</w:t>
      </w:r>
    </w:p>
    <w:p>
      <w:pPr>
        <w:pStyle w:val="Body"/>
      </w:pPr>
      <w:r>
        <w:rPr>
          <w:b/>
          <w:i w:val="0"/>
        </w:rPr>
        <w:t>EX-010 — Événements d’effets.</w:t>
      </w:r>
      <w:r>
        <w:t xml:space="preserve"> Chaque commande acceptée doit identifier autant que possible : objets créés, modifiés ou supprimés ; références/contraintes modifiées ; domaines dérivés invalidés ; révision de sortie et origine de la modification.</w:t>
      </w:r>
    </w:p>
    <w:p>
      <w:pPr>
        <w:pStyle w:val="Body"/>
      </w:pPr>
      <w:r>
        <w:rPr>
          <w:b/>
          <w:i w:val="0"/>
        </w:rPr>
        <w:t>EX-011 — Actualisation.</w:t>
      </w:r>
      <w:r>
        <w:t xml:space="preserve"> Les projections consomment ces effets pour régénérer la portée minimale </w:t>
      </w:r>
      <w:r>
        <w:rPr>
          <w:b/>
          <w:i w:val="0"/>
        </w:rPr>
        <w:t>correcte</w:t>
      </w:r>
      <w:r>
        <w:t>, avec possibilité de repli vers une reconstruction plus large si l’invalidation exacte n’est pas sûre. Une actualisation partielle erronée n’est jamais acceptée au nom des performances.</w:t>
      </w:r>
    </w:p>
    <w:p>
      <w:pPr>
        <w:pStyle w:val="H2"/>
      </w:pPr>
      <w:r>
        <w:t>2.4. Invariants de référence</w:t>
      </w:r>
    </w:p>
    <w:tbl>
      <w:tblPr>
        <w:tblW w:type="auto" w:w="0"/>
        <w:jc w:val="center"/>
        <w:tblLayout w:type="fixed"/>
        <w:tblLook w:firstColumn="1" w:firstRow="1" w:lastColumn="0" w:lastRow="0" w:noHBand="0" w:noVBand="1" w:val="04A0"/>
      </w:tblPr>
      <w:tblGrid>
        <w:gridCol w:w="5003"/>
        <w:gridCol w:w="5003"/>
      </w:tblGrid>
      <w:tr>
        <w:trPr>
          <w:tblHeader w:val="true"/>
        </w:trPr>
        <w:tc>
          <w:tcPr>
            <w:tcW w:type="dxa" w:w="27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ID</w:t>
            </w:r>
          </w:p>
        </w:tc>
        <w:tc>
          <w:tcPr>
            <w:tcW w:type="dxa" w:w="7305"/>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Invariant testable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INV-001</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Une approbation référence exactement les éléments présentés à la décision.</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INV-002</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Une définition architecturale associée possède une autorité unique.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INV-003</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Une copie indépendante ne propage pas vers son origine.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INV-004</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Une exigence approuvée reste distincte du résultat de conception.</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INV-005</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Une opération rejetée ne modifie pas partiellement les données canoniques.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INV-006</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Un résultat dérivé ancien est identifiable et n’écrase pas le résultat courant.</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INV-007</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Une optimisation préserve les résultats métier dans les tolérances déclarées.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INV-008</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Un cache/index/projection est reconstruisible depuis la donnée de référence.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INV-009</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Un profil personnalisé ne change ni données, ni droits, ni révision de conception.</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INV-010</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Une requête IA ou extension passe par les mêmes validations centrales qu’une action humaine.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INV-011</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Les annulations concurrentes ne détruisent pas silencieusement le travail d’un autre acteur.</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INV-012</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Une publication antérieure n’est pas réécrite par la création d’une nouvelle publication.</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INV-013</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Une annotation référencée à une face modifiée est conservée avec correspondance vérifiée ou marquée « à résoudre ».</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INV-014</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Le mode hors connexion différencie travail local, confirmation serveur et droits à reverifier.</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INV-015</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Un outil masqué reste retrouvable s’il est autorisé, et n’est pas désinstallé implicitement.</w:t>
            </w:r>
          </w:p>
        </w:tc>
      </w:tr>
    </w:tbl>
    <w:p>
      <w:pPr>
        <w:spacing w:after="40" w:before="0"/>
      </w:pPr>
    </w:p>
    <w:p>
      <w:pPr>
        <w:pStyle w:val="Body"/>
      </w:pPr>
      <w:r>
        <w:t>Chaque invariant doit recevoir au moins un test positif, un test d’échec et un identifiant de preuve. La matrice du chapitre 20 en fixe les premières correspondances.</w:t>
      </w:r>
    </w:p>
    <w:p>
      <w:pPr>
        <w:pStyle w:val="H1"/>
        <w:pageBreakBefore w:val="0"/>
        <w:spacing w:before="240"/>
        <w:pBdr>
          <w:bottom w:val="single" w:sz="12" w:space="6" w:color="147D88"/>
        </w:pBdr>
      </w:pPr>
      <w:r>
        <w:t>3. Modèle canonique et versionnement</w:t>
      </w:r>
    </w:p>
    <w:p>
      <w:pPr>
        <w:pStyle w:val="H2"/>
      </w:pPr>
      <w:r>
        <w:t>3.1. Entités et identités</w:t>
      </w:r>
    </w:p>
    <w:p>
      <w:pPr>
        <w:pStyle w:val="Body"/>
      </w:pPr>
      <w:r>
        <w:t xml:space="preserve">Les champs ci-dessous constituent un </w:t>
      </w:r>
      <w:r>
        <w:rPr>
          <w:b/>
          <w:i w:val="0"/>
        </w:rPr>
        <w:t>schéma logique minimal proposé</w:t>
      </w:r>
      <w:r>
        <w:t>. La forme physique, les index et le découpage SQL restent des choix à instruire (DEC-01 à DEC-03). Les identifiants sont stables dans leur espace de noms et jamais réutilisés à une autre fin.</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Entité</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Champs logiques minimaux</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Règles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Projet Fadi</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projectId</w:t>
            </w:r>
            <w:r>
              <w:rPr>
                <w:rFonts w:ascii="Liberation Sans" w:hAnsi="Liberation Sans" w:eastAsia="Liberation Sans" w:cs="Liberation Sans"/>
                <w:color w:val="263442"/>
                <w:sz w:val="15"/>
              </w:rPr>
              <w:t>, droits et sources.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Propriétaire de rattachement ; projet existant non dupliqué.</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Étude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studyId</w:t>
            </w:r>
            <w:r>
              <w:rPr>
                <w:rFonts w:ascii="Liberation Sans" w:hAnsi="Liberation Sans" w:eastAsia="Liberation Sans" w:cs="Liberation Sans"/>
                <w:color w:val="263442"/>
                <w:sz w:val="15"/>
              </w:rPr>
              <w:t xml:space="preserve">, </w:t>
            </w:r>
            <w:r>
              <w:rPr>
                <w:rFonts w:ascii="Liberation Sans" w:hAnsi="Liberation Sans" w:eastAsia="Liberation Sans" w:cs="Liberation Sans"/>
                <w:b w:val="0"/>
                <w:color w:val="263442"/>
                <w:sz w:val="15"/>
              </w:rPr>
              <w:t>projectId</w:t>
            </w:r>
            <w:r>
              <w:rPr>
                <w:rFonts w:ascii="Liberation Sans" w:hAnsi="Liberation Sans" w:eastAsia="Liberation Sans" w:cs="Liberation Sans"/>
                <w:color w:val="263442"/>
                <w:sz w:val="15"/>
              </w:rPr>
              <w:t>, objet, sources, hypothèses, référents.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Peut être cadrée sans variante.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Variante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variantId</w:t>
            </w:r>
            <w:r>
              <w:rPr>
                <w:rFonts w:ascii="Liberation Sans" w:hAnsi="Liberation Sans" w:eastAsia="Liberation Sans" w:cs="Liberation Sans"/>
                <w:color w:val="263442"/>
                <w:sz w:val="15"/>
              </w:rPr>
              <w:t xml:space="preserve">, </w:t>
            </w:r>
            <w:r>
              <w:rPr>
                <w:rFonts w:ascii="Liberation Sans" w:hAnsi="Liberation Sans" w:eastAsia="Liberation Sans" w:cs="Liberation Sans"/>
                <w:b w:val="0"/>
                <w:color w:val="263442"/>
                <w:sz w:val="15"/>
              </w:rPr>
              <w:t>studyId</w:t>
            </w:r>
            <w:r>
              <w:rPr>
                <w:rFonts w:ascii="Liberation Sans" w:hAnsi="Liberation Sans" w:eastAsia="Liberation Sans" w:cs="Liberation Sans"/>
                <w:color w:val="263442"/>
                <w:sz w:val="15"/>
              </w:rPr>
              <w:t>, lignée éventuelle, nom, état courant.</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Copie de variante = nouvelles identités, pas de propagation implicite.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Révision</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revisionId</w:t>
            </w:r>
            <w:r>
              <w:rPr>
                <w:rFonts w:ascii="Liberation Sans" w:hAnsi="Liberation Sans" w:eastAsia="Liberation Sans" w:cs="Liberation Sans"/>
                <w:color w:val="263442"/>
                <w:sz w:val="15"/>
              </w:rPr>
              <w:t xml:space="preserve">, </w:t>
            </w:r>
            <w:r>
              <w:rPr>
                <w:rFonts w:ascii="Liberation Sans" w:hAnsi="Liberation Sans" w:eastAsia="Liberation Sans" w:cs="Liberation Sans"/>
                <w:b w:val="0"/>
                <w:color w:val="263442"/>
                <w:sz w:val="15"/>
              </w:rPr>
              <w:t>variantId</w:t>
            </w:r>
            <w:r>
              <w:rPr>
                <w:rFonts w:ascii="Liberation Sans" w:hAnsi="Liberation Sans" w:eastAsia="Liberation Sans" w:cs="Liberation Sans"/>
                <w:color w:val="263442"/>
                <w:sz w:val="15"/>
              </w:rPr>
              <w:t>, auteur, date, parents, références de contenus et empreintes.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Immuable une fois enregistrée comme référence.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Objet géométrique 2D</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objectId</w:t>
            </w:r>
            <w:r>
              <w:rPr>
                <w:rFonts w:ascii="Liberation Sans" w:hAnsi="Liberation Sans" w:eastAsia="Liberation Sans" w:cs="Liberation Sans"/>
                <w:color w:val="263442"/>
                <w:sz w:val="15"/>
              </w:rPr>
              <w:t xml:space="preserve">, </w:t>
            </w:r>
            <w:r>
              <w:rPr>
                <w:rFonts w:ascii="Liberation Sans" w:hAnsi="Liberation Sans" w:eastAsia="Liberation Sans" w:cs="Liberation Sans"/>
                <w:b w:val="0"/>
                <w:color w:val="263442"/>
                <w:sz w:val="15"/>
              </w:rPr>
              <w:t>documentId</w:t>
            </w:r>
            <w:r>
              <w:rPr>
                <w:rFonts w:ascii="Liberation Sans" w:hAnsi="Liberation Sans" w:eastAsia="Liberation Sans" w:cs="Liberation Sans"/>
                <w:color w:val="263442"/>
                <w:sz w:val="15"/>
              </w:rPr>
              <w:t>, primitive, repère, contraintes, calque.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Peut exister sans objet 3D.</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Objet géométrique 3D</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objectId</w:t>
            </w:r>
            <w:r>
              <w:rPr>
                <w:rFonts w:ascii="Liberation Sans" w:hAnsi="Liberation Sans" w:eastAsia="Liberation Sans" w:cs="Liberation Sans"/>
                <w:color w:val="263442"/>
                <w:sz w:val="15"/>
              </w:rPr>
              <w:t xml:space="preserve">, </w:t>
            </w:r>
            <w:r>
              <w:rPr>
                <w:rFonts w:ascii="Liberation Sans" w:hAnsi="Liberation Sans" w:eastAsia="Liberation Sans" w:cs="Liberation Sans"/>
                <w:b w:val="0"/>
                <w:color w:val="263442"/>
                <w:sz w:val="15"/>
              </w:rPr>
              <w:t>modelId</w:t>
            </w:r>
            <w:r>
              <w:rPr>
                <w:rFonts w:ascii="Liberation Sans" w:hAnsi="Liberation Sans" w:eastAsia="Liberation Sans" w:cs="Liberation Sans"/>
                <w:color w:val="263442"/>
                <w:sz w:val="15"/>
              </w:rPr>
              <w:t>, représentation exacte ou paramétrique, repère.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Peut exister sans géométrie 2D source.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Objet architectural</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objectId</w:t>
            </w:r>
            <w:r>
              <w:rPr>
                <w:rFonts w:ascii="Liberation Sans" w:hAnsi="Liberation Sans" w:eastAsia="Liberation Sans" w:cs="Liberation Sans"/>
                <w:color w:val="263442"/>
                <w:sz w:val="15"/>
              </w:rPr>
              <w:t>, type, paramètres, hôtes, relations, provenance.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Une définition partagée pour les planches associées.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Association</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associationId</w:t>
            </w:r>
            <w:r>
              <w:rPr>
                <w:rFonts w:ascii="Liberation Sans" w:hAnsi="Liberation Sans" w:eastAsia="Liberation Sans" w:cs="Liberation Sans"/>
                <w:color w:val="263442"/>
                <w:sz w:val="15"/>
              </w:rPr>
              <w:t xml:space="preserve">, </w:t>
            </w:r>
            <w:r>
              <w:rPr>
                <w:rFonts w:ascii="Liberation Sans" w:hAnsi="Liberation Sans" w:eastAsia="Liberation Sans" w:cs="Liberation Sans"/>
                <w:b w:val="0"/>
                <w:color w:val="263442"/>
                <w:sz w:val="15"/>
              </w:rPr>
              <w:t>kind</w:t>
            </w:r>
            <w:r>
              <w:rPr>
                <w:rFonts w:ascii="Liberation Sans" w:hAnsi="Liberation Sans" w:eastAsia="Liberation Sans" w:cs="Liberation Sans"/>
                <w:color w:val="263442"/>
                <w:sz w:val="15"/>
              </w:rPr>
              <w:t>, source/cible, contraintes, état, provenance.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associated</w:t>
            </w:r>
            <w:r>
              <w:rPr>
                <w:rFonts w:ascii="Liberation Sans" w:hAnsi="Liberation Sans" w:eastAsia="Liberation Sans" w:cs="Liberation Sans"/>
                <w:color w:val="263442"/>
                <w:sz w:val="15"/>
              </w:rPr>
              <w:t xml:space="preserve">, </w:t>
            </w:r>
            <w:r>
              <w:rPr>
                <w:rFonts w:ascii="Liberation Sans" w:hAnsi="Liberation Sans" w:eastAsia="Liberation Sans" w:cs="Liberation Sans"/>
                <w:b w:val="0"/>
                <w:color w:val="263442"/>
                <w:sz w:val="15"/>
              </w:rPr>
              <w:t>linked-reference</w:t>
            </w:r>
            <w:r>
              <w:rPr>
                <w:rFonts w:ascii="Liberation Sans" w:hAnsi="Liberation Sans" w:eastAsia="Liberation Sans" w:cs="Liberation Sans"/>
                <w:color w:val="263442"/>
                <w:sz w:val="15"/>
              </w:rPr>
              <w:t xml:space="preserve">, </w:t>
            </w:r>
            <w:r>
              <w:rPr>
                <w:rFonts w:ascii="Liberation Sans" w:hAnsi="Liberation Sans" w:eastAsia="Liberation Sans" w:cs="Liberation Sans"/>
                <w:b w:val="0"/>
                <w:color w:val="263442"/>
                <w:sz w:val="15"/>
              </w:rPr>
              <w:t>independent-copy</w:t>
            </w:r>
            <w:r>
              <w:rPr>
                <w:rFonts w:ascii="Liberation Sans" w:hAnsi="Liberation Sans" w:eastAsia="Liberation Sans" w:cs="Liberation Sans"/>
                <w:color w:val="263442"/>
                <w:sz w:val="15"/>
              </w:rPr>
              <w:t>.</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Référence topologique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topoRefId</w:t>
            </w:r>
            <w:r>
              <w:rPr>
                <w:rFonts w:ascii="Liberation Sans" w:hAnsi="Liberation Sans" w:eastAsia="Liberation Sans" w:cs="Liberation Sans"/>
                <w:color w:val="263442"/>
                <w:sz w:val="15"/>
              </w:rPr>
              <w:t>, source, rôle et critères de correspondance.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Ambiguïté explicite après modification géométrique.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Vue et scène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viewId</w:t>
            </w:r>
            <w:r>
              <w:rPr>
                <w:rFonts w:ascii="Liberation Sans" w:hAnsi="Liberation Sans" w:eastAsia="Liberation Sans" w:cs="Liberation Sans"/>
                <w:color w:val="263442"/>
                <w:sz w:val="15"/>
              </w:rPr>
              <w:t>, révisions sources, caméra/repère, styles, annotations propres.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Projection, pas autorité sur les objets sources.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Exigence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requirementId</w:t>
            </w:r>
            <w:r>
              <w:rPr>
                <w:rFonts w:ascii="Liberation Sans" w:hAnsi="Liberation Sans" w:eastAsia="Liberation Sans" w:cs="Liberation Sans"/>
                <w:color w:val="263442"/>
                <w:sz w:val="15"/>
              </w:rPr>
              <w:t>, contenu, unité, version, approbation éventuelle.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Indépendante des valeurs calculées.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Constat/observation</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issueId</w:t>
            </w:r>
            <w:r>
              <w:rPr>
                <w:rFonts w:ascii="Liberation Sans" w:hAnsi="Liberation Sans" w:eastAsia="Liberation Sans" w:cs="Liberation Sans"/>
                <w:color w:val="263442"/>
                <w:sz w:val="15"/>
              </w:rPr>
              <w:t>, règles, source, objets, vue, auteur, état, liens de recontrôle.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Identité unique entre BIM et collaboration.</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Document/livrable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documentId</w:t>
            </w:r>
            <w:r>
              <w:rPr>
                <w:rFonts w:ascii="Liberation Sans" w:hAnsi="Liberation Sans" w:eastAsia="Liberation Sans" w:cs="Liberation Sans"/>
                <w:color w:val="263442"/>
                <w:sz w:val="15"/>
              </w:rPr>
              <w:t>, format, source, version, méthode, stockage.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Version et état d’actualité identifiables.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Publication</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publicationId</w:t>
            </w:r>
            <w:r>
              <w:rPr>
                <w:rFonts w:ascii="Liberation Sans" w:hAnsi="Liberation Sans" w:eastAsia="Liberation Sans" w:cs="Liberation Sans"/>
                <w:color w:val="263442"/>
                <w:sz w:val="15"/>
              </w:rPr>
              <w:t>, manifeste, empreintes, décisions, usage et statut de diffusion.</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Ensemble figé et coordonné.</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Profil d’outils</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profileId</w:t>
            </w:r>
            <w:r>
              <w:rPr>
                <w:rFonts w:ascii="Liberation Sans" w:hAnsi="Liberation Sans" w:eastAsia="Liberation Sans" w:cs="Liberation Sans"/>
                <w:color w:val="263442"/>
                <w:sz w:val="15"/>
              </w:rPr>
              <w:t>, propriétaire, version, widgets, raccourcis, contexte.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Préférence indépendante des révisions métier.</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Déclaration d’outil</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toolId</w:t>
            </w:r>
            <w:r>
              <w:rPr>
                <w:rFonts w:ascii="Liberation Sans" w:hAnsi="Liberation Sans" w:eastAsia="Liberation Sans" w:cs="Liberation Sans"/>
                <w:color w:val="263442"/>
                <w:sz w:val="15"/>
              </w:rPr>
              <w:t>, version, contrats, dépendances, compatibilités.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Donnée de catalogue, distincte du code exécuté.</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Tâche de calcul</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jobId</w:t>
            </w:r>
            <w:r>
              <w:rPr>
                <w:rFonts w:ascii="Liberation Sans" w:hAnsi="Liberation Sans" w:eastAsia="Liberation Sans" w:cs="Liberation Sans"/>
                <w:color w:val="263442"/>
                <w:sz w:val="15"/>
              </w:rPr>
              <w:t>, nature, paramètres, révision source, état, résultat, métadonnées.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Résultat tardif marqué périmé si le contexte a changé.</w:t>
            </w:r>
          </w:p>
        </w:tc>
      </w:tr>
    </w:tbl>
    <w:p>
      <w:pPr>
        <w:spacing w:after="40" w:before="0"/>
      </w:pPr>
    </w:p>
    <w:p>
      <w:pPr>
        <w:pStyle w:val="H2"/>
      </w:pPr>
      <w:r>
        <w:t>3.2. Identité, appartenance et provenance</w:t>
      </w:r>
    </w:p>
    <w:p>
      <w:pPr>
        <w:pStyle w:val="Body"/>
      </w:pPr>
      <w:r>
        <w:rPr>
          <w:b/>
          <w:i w:val="0"/>
        </w:rPr>
        <w:t>EX-012 — Immuabilité des révisions.</w:t>
      </w:r>
      <w:r>
        <w:t xml:space="preserve"> Une révision de référence ne change pas rétroactivement lorsque la variante évolue. Une correction de contenu produit un nouvel état ; une annulation collaborative constitue elle-même une nouvelle opération vérifiée.</w:t>
      </w:r>
    </w:p>
    <w:p>
      <w:pPr>
        <w:pStyle w:val="Body"/>
      </w:pPr>
      <w:r>
        <w:rPr>
          <w:b/>
          <w:i w:val="0"/>
        </w:rPr>
        <w:t>EX-013 — Clonage.</w:t>
      </w:r>
      <w:r>
        <w:t xml:space="preserve"> Lors du clonage d’une variante, les objets issus de la copie sont identifiés dans la nouvelle variante ; leur provenance peut pointer vers leurs sources, sans établir une propagation automatique. Les composants partagés explicitement versionnés font l’objet d’un contrat de mise à jour séparé.</w:t>
      </w:r>
    </w:p>
    <w:p>
      <w:pPr>
        <w:pStyle w:val="Body"/>
      </w:pPr>
      <w:r>
        <w:rPr>
          <w:b/>
          <w:i w:val="0"/>
        </w:rPr>
        <w:t>EX-014 — Provenance et unités.</w:t>
      </w:r>
      <w:r>
        <w:t xml:space="preserve"> Chaque source externe porte auteur/fournisseur lorsqu’il est connu, format, horodatage, version, unités, repère, transformation, restrictions d’utilisation et empreinte du contenu si calculable.</w:t>
      </w:r>
    </w:p>
    <w:p>
      <w:pPr>
        <w:pStyle w:val="Body"/>
      </w:pPr>
      <w:r>
        <w:rPr>
          <w:b/>
          <w:i w:val="0"/>
        </w:rPr>
        <w:t>EX-015 — Références topologiques.</w:t>
      </w:r>
      <w:r>
        <w:t xml:space="preserve"> Le système ne reconstitue jamais une relation entre une cote et une face découpée sur la seule proximité spatiale si plusieurs cibles plausibles existent. Il la conserve avec correspondance démontrée ou signale une rupture à résoudre.</w:t>
      </w:r>
    </w:p>
    <w:p>
      <w:pPr>
        <w:pStyle w:val="H2"/>
      </w:pPr>
      <w:r>
        <w:t>3.3. Autorité et actualité des contenus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Contenu</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Autorité</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Conséquence en cas de modification</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Dessin 2D indépendant</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Document 2D et primitives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Mise à jour des vues/feuilles qui le citent.</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Géométrie 3D libre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Modèle 3D libre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Mise à jour des projections, mesures et exports qui en dépendent.</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Objet architectural associé</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Définition sémantique commune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Mise à jour 2D, 3D, BIM et métrés dépendants.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Vue ou coupe dérivée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Objets sources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Vue à recalculer ; annotations propres conservées.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Matériau visuel</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Configuration de présentation</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Aucune mutation de la composition constructive.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Exigence programme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Version de l’exigence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Écart visible ; le dessin ne la « corrige » pas.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Publication</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Manifeste et décisions signées/traçables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Reste historique même si nouvelle révision apparaît.</w:t>
            </w:r>
          </w:p>
        </w:tc>
      </w:tr>
    </w:tbl>
    <w:p>
      <w:pPr>
        <w:spacing w:after="40" w:before="0"/>
      </w:pPr>
    </w:p>
    <w:p>
      <w:pPr>
        <w:pStyle w:val="Body"/>
      </w:pPr>
      <w:r>
        <w:rPr>
          <w:b/>
          <w:i w:val="0"/>
        </w:rPr>
        <w:t>EX-016 — Fraîcheur.</w:t>
      </w:r>
      <w:r>
        <w:t xml:space="preserve"> Les contenus dérivés doivent afficher </w:t>
      </w:r>
      <w:r>
        <w:rPr>
          <w:rFonts w:ascii="Liberation Mono" w:hAnsi="Liberation Mono" w:eastAsia="Liberation Mono" w:cs="Liberation Mono"/>
          <w:b w:val="0"/>
          <w:color w:val="147D88"/>
          <w:sz w:val="15"/>
        </w:rPr>
        <w:t>à jour pour révision R</w:t>
      </w:r>
      <w:r>
        <w:t xml:space="preserve">, </w:t>
      </w:r>
      <w:r>
        <w:rPr>
          <w:rFonts w:ascii="Liberation Mono" w:hAnsi="Liberation Mono" w:eastAsia="Liberation Mono" w:cs="Liberation Mono"/>
          <w:b w:val="0"/>
          <w:color w:val="147D88"/>
          <w:sz w:val="15"/>
        </w:rPr>
        <w:t>à recalculer</w:t>
      </w:r>
      <w:r>
        <w:t xml:space="preserve">, </w:t>
      </w:r>
      <w:r>
        <w:rPr>
          <w:rFonts w:ascii="Liberation Mono" w:hAnsi="Liberation Mono" w:eastAsia="Liberation Mono" w:cs="Liberation Mono"/>
          <w:b w:val="0"/>
          <w:color w:val="147D88"/>
          <w:sz w:val="15"/>
        </w:rPr>
        <w:t>en calcul</w:t>
      </w:r>
      <w:r>
        <w:t xml:space="preserve">, </w:t>
      </w:r>
      <w:r>
        <w:rPr>
          <w:rFonts w:ascii="Liberation Mono" w:hAnsi="Liberation Mono" w:eastAsia="Liberation Mono" w:cs="Liberation Mono"/>
          <w:b w:val="0"/>
          <w:color w:val="147D88"/>
          <w:sz w:val="15"/>
        </w:rPr>
        <w:t>échec</w:t>
      </w:r>
      <w:r>
        <w:t xml:space="preserve"> ou </w:t>
      </w:r>
      <w:r>
        <w:rPr>
          <w:rFonts w:ascii="Liberation Mono" w:hAnsi="Liberation Mono" w:eastAsia="Liberation Mono" w:cs="Liberation Mono"/>
          <w:b w:val="0"/>
          <w:color w:val="147D88"/>
          <w:sz w:val="15"/>
        </w:rPr>
        <w:t>non applicable</w:t>
      </w:r>
      <w:r>
        <w:t>, selon leur contrat. « Dernière image produite » ne signifie pas nécessairement « état courant ».</w:t>
      </w:r>
    </w:p>
    <w:p>
      <w:pPr>
        <w:pStyle w:val="H2"/>
      </w:pPr>
      <w:r>
        <w:t>3.4. Transactions et concurrence</w:t>
      </w:r>
    </w:p>
    <w:p>
      <w:pPr>
        <w:pStyle w:val="Body"/>
      </w:pPr>
      <w:r>
        <w:rPr>
          <w:b/>
          <w:i w:val="0"/>
        </w:rPr>
        <w:t>IF-004 — Précondition de version.</w:t>
      </w:r>
      <w:r>
        <w:t xml:space="preserve"> Toute intention qui modifie un objet en environnement collaboratif référence </w:t>
      </w:r>
      <w:r>
        <w:rPr>
          <w:rFonts w:ascii="Liberation Mono" w:hAnsi="Liberation Mono" w:eastAsia="Liberation Mono" w:cs="Liberation Mono"/>
          <w:b w:val="0"/>
          <w:color w:val="147D88"/>
          <w:sz w:val="15"/>
        </w:rPr>
        <w:t>baseRevisionId</w:t>
      </w:r>
      <w:r>
        <w:t xml:space="preserve"> et, lorsque nécessaire, les versions individuelles des objets et relations touchés. En cas de divergence incompatible : refus et proposition de résolution ou nouveau calcul sur la base courante.</w:t>
      </w:r>
    </w:p>
    <w:p>
      <w:pPr>
        <w:pStyle w:val="Body"/>
      </w:pPr>
      <w:r>
        <w:rPr>
          <w:b/>
          <w:i w:val="0"/>
        </w:rPr>
        <w:t>EX-017 — Atomicité.</w:t>
      </w:r>
      <w:r>
        <w:t xml:space="preserve"> Les modifications canoniques d’une même opération sont engagées ensemble ou pas du tout. Les rafraîchissements de cache peuvent être différés et signalés, mais ne constituent pas des modifications canoniques validées.</w:t>
      </w:r>
    </w:p>
    <w:p>
      <w:pPr>
        <w:pStyle w:val="Body"/>
      </w:pPr>
      <w:r>
        <w:rPr>
          <w:b/>
          <w:i w:val="0"/>
        </w:rPr>
        <w:t>EX-018 — Idempotence.</w:t>
      </w:r>
      <w:r>
        <w:t xml:space="preserve"> Une même commande répétée après une interruption, avec son </w:t>
      </w:r>
      <w:r>
        <w:rPr>
          <w:rFonts w:ascii="Liberation Mono" w:hAnsi="Liberation Mono" w:eastAsia="Liberation Mono" w:cs="Liberation Mono"/>
          <w:b w:val="0"/>
          <w:color w:val="147D88"/>
          <w:sz w:val="15"/>
        </w:rPr>
        <w:t>requestId</w:t>
      </w:r>
      <w:r>
        <w:t xml:space="preserve"> et le même périmètre, n’est pas appliquée deux fois. Une nouvelle commande distincte exige une nouvelle identité.</w:t>
      </w:r>
    </w:p>
    <w:p>
      <w:pPr>
        <w:pStyle w:val="H2"/>
      </w:pPr>
      <w:r>
        <w:t>3.5. Stockage physique et migration</w:t>
      </w:r>
    </w:p>
    <w:p>
      <w:pPr>
        <w:pStyle w:val="Body"/>
      </w:pPr>
      <w:r>
        <w:t xml:space="preserve">Le modèle logique n’impose pas de multiplier les schémas SQL. Il est recommandé </w:t>
      </w:r>
      <w:r>
        <w:rPr>
          <w:b/>
          <w:i w:val="0"/>
        </w:rPr>
        <w:t>d’évaluer</w:t>
      </w:r>
      <w:r>
        <w:t xml:space="preserve"> l’adaptation de PostgreSQL/PostGIS déjà présent, avec transaction côté serveur, index appropriés, tables de révisions et stockage de blobs référencés. Cette préférence est une hypothèse d’architecture : volume, migration, historisation et performance doivent être mesurés.</w:t>
      </w:r>
    </w:p>
    <w:p>
      <w:pPr>
        <w:pStyle w:val="Body"/>
      </w:pPr>
      <w:r>
        <w:rPr>
          <w:b/>
          <w:i w:val="0"/>
        </w:rPr>
        <w:t>EX-019 — Évolutivité des schémas.</w:t>
      </w:r>
      <w:r>
        <w:t xml:space="preserve"> Chaque document/commande persistant porte sa version de schéma. Toute migration doit fournir une transformation documentée, des tests aller-retour lorsque réalisables, une conservation des données inconnues ou un rapport des pertes, et un retour arrière ou une récupération explicitement prévue.</w:t>
      </w:r>
    </w:p>
    <w:p>
      <w:pPr>
        <w:pStyle w:val="H1"/>
        <w:pageBreakBefore w:val="0"/>
        <w:spacing w:before="240"/>
        <w:pBdr>
          <w:bottom w:val="single" w:sz="12" w:space="6" w:color="147D88"/>
        </w:pBdr>
      </w:pPr>
      <w:r>
        <w:t>4. Planche 2D, Planche 3D et associations</w:t>
      </w:r>
    </w:p>
    <w:p>
      <w:pPr>
        <w:pStyle w:val="H2"/>
      </w:pPr>
      <w:r>
        <w:t>4.1. Contrats des deux éditeurs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Capacité</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Planche 2D</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Planche 3D</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Objets primaires</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Segments, courbes, régions, cotes, textes, calques.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Sommets, arêtes, faces, volumes, groupes, composants.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Saisie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Coordonnées en plan, contraintes, guides, accrochage 2D.</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Repères 3D, axes, plans de construction, inférences.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Sélection</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Cliquez/encadrez/filtrez et sélectionnez des primitives.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Raycasting et sélection de géométrie spatiale et d’objets.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Autonomie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Document complet sans modèle 3D.</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Modèle complet sans dessin 2D préalable.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Liaison</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Commandes vers les objets architecturaux associés.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Commandes vers les mêmes objets et leurs dépendances.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Sorties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Vues de dessin, détails indépendants, plans annotés.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Vues/coupes dérivées, rendus, maillages autorisés.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Limite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Un trait ne devient pas un mur automatiquement.</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Une forme libre ne devient pas un objet BIM automatiquement.</w:t>
            </w:r>
          </w:p>
        </w:tc>
      </w:tr>
    </w:tbl>
    <w:p>
      <w:pPr>
        <w:spacing w:after="40" w:before="0"/>
      </w:pPr>
    </w:p>
    <w:p>
      <w:pPr>
        <w:pStyle w:val="Body"/>
      </w:pPr>
      <w:r>
        <w:rPr>
          <w:b/>
          <w:i w:val="0"/>
        </w:rPr>
        <w:t>EX-020 — Indépendance forte.</w:t>
      </w:r>
      <w:r>
        <w:t xml:space="preserve"> Un dessin 2D doit pouvoir être sérialisé, restauré, édité et exporté sans reconstruction d’un modèle 3D « de substitution ». Les extrusions ou transferts créent un objet 3D nouveau ou une association déclarée.</w:t>
      </w:r>
    </w:p>
    <w:p>
      <w:pPr>
        <w:pStyle w:val="Body"/>
      </w:pPr>
      <w:r>
        <w:rPr>
          <w:b/>
          <w:i w:val="0"/>
        </w:rPr>
        <w:t>EX-021 — Correspondance explicite.</w:t>
      </w:r>
      <w:r>
        <w:t xml:space="preserve"> Une commande sur un objet architectural depuis l’une des planches cible le même </w:t>
      </w:r>
      <w:r>
        <w:rPr>
          <w:rFonts w:ascii="Liberation Mono" w:hAnsi="Liberation Mono" w:eastAsia="Liberation Mono" w:cs="Liberation Mono"/>
          <w:b w:val="0"/>
          <w:color w:val="147D88"/>
          <w:sz w:val="15"/>
        </w:rPr>
        <w:t>objectId</w:t>
      </w:r>
      <w:r>
        <w:t xml:space="preserve"> et les mêmes relations. Les deux planches ne doivent pas maintenir leurs propres versions autoritaires du mur.</w:t>
      </w:r>
    </w:p>
    <w:p>
      <w:pPr>
        <w:pStyle w:val="H2"/>
      </w:pPr>
      <w:r>
        <w:t>4.2. Types de transfert</w:t>
      </w:r>
    </w:p>
    <w:tbl>
      <w:tblPr>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601"/>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Type</w:t>
            </w:r>
          </w:p>
        </w:tc>
        <w:tc>
          <w:tcPr>
            <w:tcW w:type="dxa" w:w="24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Source d’autorité</w:t>
            </w:r>
          </w:p>
        </w:tc>
        <w:tc>
          <w:tcPr>
            <w:tcW w:type="dxa" w:w="3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Effet des modifications</w:t>
            </w:r>
          </w:p>
        </w:tc>
        <w:tc>
          <w:tcPr>
            <w:tcW w:type="dxa" w:w="25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Action utilisateur attendue</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Associé</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Objet canonique unique</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Recalcul des vues dépendantes ; édition sous les contraintes communes.</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Association clairement indiquée.</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Référence liée</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Contenu externe/interne source</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La référence peut être rafraîchie après réception/acceptation de version.</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Choisir la version et le mode de mise à jour.</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Copie indépendante</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Nouvelle copie</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Aucun lien de modification, provenance seulement.</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Confirmation de la rupture.</w:t>
            </w:r>
          </w:p>
        </w:tc>
      </w:tr>
    </w:tbl>
    <w:p>
      <w:pPr>
        <w:spacing w:after="40" w:before="0"/>
      </w:pPr>
    </w:p>
    <w:p>
      <w:pPr>
        <w:pStyle w:val="Body"/>
      </w:pPr>
      <w:r>
        <w:rPr>
          <w:b/>
          <w:i w:val="0"/>
        </w:rPr>
        <w:t>EX-022 — Propagation limitée.</w:t>
      </w:r>
      <w:r>
        <w:t xml:space="preserve"> Toute propagation est définie par le type d’association et la dépendance. L’extraction d’une coupe ne confère pas à ses segments le pouvoir universel de modifier le volume ; une cote associée ne modifie pas automatiquement sa cible.</w:t>
      </w:r>
    </w:p>
    <w:p>
      <w:pPr>
        <w:pStyle w:val="H2"/>
      </w:pPr>
      <w:r>
        <w:t>4.3. Matrice d’opérations critiques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Action</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Écriture canonique</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Invalidation et erreur à prévoir</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Mur modifié en 2D</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Paramètres de l’objet associé.</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3D, métrés, dessins et contrôles dépendants ; incompatibilité d’ouverture à résoudre.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Mur modifié en 3D</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Même objet/paramètres.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Plans, cotes et documents ; revalidation des contraintes.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Profil 2D extrudé</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Nouveau volume ou dépendance explicitement liée.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Calcul de direction/hauteur ; aucune conversion implicite.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Profil lié modifié</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Profil propriétaire.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Extrusion recalculée ou marquée invalide.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Coupe 3D créée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Vue/document dérivé.</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Révision source, annotation indépendante et provenance.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Copie détachée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Nouvel objet autonome.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Aucune mise à jour par l’original.</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Cote sur face divisée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Cote et référence topologique.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Correspondance testée ou statut « à résoudre ».</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Résultat de job périmé</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Aucun remplacement silencieux du courant.</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Résultat lié à l’ancienne révision, relance proposée.</w:t>
            </w:r>
          </w:p>
        </w:tc>
      </w:tr>
    </w:tbl>
    <w:p>
      <w:pPr>
        <w:spacing w:after="40" w:before="0"/>
      </w:pPr>
    </w:p>
    <w:p>
      <w:pPr>
        <w:pStyle w:val="H2"/>
      </w:pPr>
      <w:r>
        <w:t>4.4. Précision, coordonnées et sélection</w:t>
      </w:r>
    </w:p>
    <w:p>
      <w:pPr>
        <w:pStyle w:val="Body"/>
      </w:pPr>
      <w:r>
        <w:rPr>
          <w:b/>
          <w:i w:val="0"/>
        </w:rPr>
        <w:t>EX-023 — Repères et unités.</w:t>
      </w:r>
      <w:r>
        <w:t xml:space="preserve"> Toute primitive possède un système de coordonnées identifiable : document 2D, local d’objet, système de projet et, le cas échéant, système géographique référencé. Les transformations sont versionnées et vérifiées, avec unités explicites ; la projection graphique en pixels ne constitue jamais l’unité de référence.</w:t>
      </w:r>
    </w:p>
    <w:p>
      <w:pPr>
        <w:pStyle w:val="Body"/>
      </w:pPr>
      <w:r>
        <w:rPr>
          <w:b/>
          <w:i w:val="0"/>
        </w:rPr>
        <w:t>EX-024 — Gestes réversibles.</w:t>
      </w:r>
      <w:r>
        <w:t xml:space="preserve"> Un geste peut afficher un aperçu approché sans écrire d’objet permanent. La confirmation produit une commande, soumise aux contrôles et à une restitution fidèle aux tolérances contractuelles ; annuler l’aperçu ne laisse aucune mutation canonique.</w:t>
      </w:r>
    </w:p>
    <w:p>
      <w:pPr>
        <w:pStyle w:val="Body"/>
      </w:pPr>
      <w:r>
        <w:rPr>
          <w:b/>
          <w:i w:val="0"/>
        </w:rPr>
        <w:t>EX-025 — Accrochage stable.</w:t>
      </w:r>
      <w:r>
        <w:t xml:space="preserve"> Les types d’accrochage, priorités, tolérances et règles de sélection sont définis par contexte. Une accélération spatiale ou une baisse des effets graphiques n’est pas autorisée à substituer silencieusement un point différent à celui du calcul de référence.</w:t>
      </w:r>
    </w:p>
    <w:p>
      <w:pPr>
        <w:pStyle w:val="H2"/>
      </w:pPr>
      <w:r>
        <w:t>4.5. Exemple : mur et ouverture (test de référence)</w:t>
      </w:r>
    </w:p>
    <w:p>
      <w:pPr>
        <w:pStyle w:val="Body"/>
      </w:pPr>
      <w:r>
        <w:t xml:space="preserve">Mur de longueur 6,00 m, hauteur 3,00 m, épaisseur 0,20 m ; ouverture traversante de 1,00 × 2,10 m ; aucune autre déduction. </w:t>
      </w:r>
      <w:r>
        <w:rPr>
          <w:b/>
          <w:i w:val="0"/>
        </w:rPr>
        <w:t>Volume brut = 3,600 m³ ; déduction = 0,420 m³ ; volume net = 3,180 m³.</w:t>
      </w:r>
      <w:r>
        <w:t xml:space="preserve"> L’ouverture passe ensuite à 1,20 m depuis l’autre planche : </w:t>
      </w:r>
      <w:r>
        <w:rPr>
          <w:b/>
          <w:i w:val="0"/>
        </w:rPr>
        <w:t>volume net attendu = 3,096 m³</w:t>
      </w:r>
      <w:r>
        <w:t xml:space="preserve">. La règle n’est qu’un </w:t>
      </w:r>
      <w:r>
        <w:rPr>
          <w:b/>
          <w:i w:val="0"/>
        </w:rPr>
        <w:t>cas d’essai géométrique simplifié</w:t>
      </w:r>
      <w:r>
        <w:t>, pas une méthode de métré universelle.</w:t>
      </w:r>
    </w:p>
    <w:p>
      <w:pPr>
        <w:pStyle w:val="Body"/>
      </w:pPr>
      <w:r>
        <w:rPr>
          <w:b/>
          <w:i w:val="0"/>
        </w:rPr>
        <w:t>AC-001.</w:t>
      </w:r>
      <w:r>
        <w:t xml:space="preserve"> Le </w:t>
      </w:r>
      <w:r>
        <w:rPr>
          <w:rFonts w:ascii="Liberation Mono" w:hAnsi="Liberation Mono" w:eastAsia="Liberation Mono" w:cs="Liberation Mono"/>
          <w:b w:val="0"/>
          <w:color w:val="147D88"/>
          <w:sz w:val="15"/>
        </w:rPr>
        <w:t>objectId</w:t>
      </w:r>
      <w:r>
        <w:t xml:space="preserve"> du mur reste stable ; l’ouverture reste reliée au bon hôte ; les deux planches reflètent la même définition ; les métrés sont mis à jour ou marqués périmés ; undo/redo et réouverture retrouvent les valeurs ; un dossier publié conserve la version examinée.</w:t>
      </w:r>
    </w:p>
    <w:p>
      <w:pPr>
        <w:pStyle w:val="H1"/>
        <w:pageBreakBefore w:val="0"/>
        <w:spacing w:before="240"/>
        <w:pBdr>
          <w:bottom w:val="single" w:sz="12" w:space="6" w:color="147D88"/>
        </w:pBdr>
      </w:pPr>
      <w:r>
        <w:t>5. Tool Registry — spécification du catalogue</w:t>
      </w:r>
    </w:p>
    <w:p>
      <w:pPr>
        <w:pStyle w:val="H2"/>
      </w:pPr>
      <w:r>
        <w:t>5.1. Mission et séparation des rôles</w:t>
      </w:r>
    </w:p>
    <w:p>
      <w:pPr>
        <w:pStyle w:val="Body"/>
      </w:pPr>
      <w:r>
        <w:rPr>
          <w:b/>
          <w:i w:val="0"/>
        </w:rPr>
        <w:t>EX-026 — Registre.</w:t>
      </w:r>
      <w:r>
        <w:t xml:space="preserve"> Le Tool Registry décrit les capacités activables, leurs contextes, versions, contrats, permissions et dépendances. Il est consultable sans télécharger tous les moteurs ni instancier leurs machines. Son manifeste léger est utilisable pour la recherche hors ligne.</w:t>
      </w:r>
    </w:p>
    <w:p>
      <w:pPr>
        <w:pStyle w:val="Body"/>
      </w:pPr>
      <w:r>
        <w:rPr>
          <w:b/>
          <w:i w:val="0"/>
        </w:rPr>
        <w:t>EX-027 — Identifiants uniques.</w:t>
      </w:r>
      <w:r>
        <w:t xml:space="preserve"> Les capacités portent des identifiants globalement non ambigus (</w:t>
      </w:r>
      <w:r>
        <w:rPr>
          <w:rFonts w:ascii="Liberation Mono" w:hAnsi="Liberation Mono" w:eastAsia="Liberation Mono" w:cs="Liberation Mono"/>
          <w:b w:val="0"/>
          <w:color w:val="147D88"/>
          <w:sz w:val="15"/>
        </w:rPr>
        <w:t>studio.draw.line2d</w:t>
      </w:r>
      <w:r>
        <w:t xml:space="preserve">, </w:t>
      </w:r>
      <w:r>
        <w:rPr>
          <w:rFonts w:ascii="Liberation Mono" w:hAnsi="Liberation Mono" w:eastAsia="Liberation Mono" w:cs="Liberation Mono"/>
          <w:b w:val="0"/>
          <w:color w:val="147D88"/>
          <w:sz w:val="15"/>
        </w:rPr>
        <w:t>studio.transform.scale</w:t>
      </w:r>
      <w:r>
        <w:t xml:space="preserve">, </w:t>
      </w:r>
      <w:r>
        <w:rPr>
          <w:rFonts w:ascii="Liberation Mono" w:hAnsi="Liberation Mono" w:eastAsia="Liberation Mono" w:cs="Liberation Mono"/>
          <w:b w:val="0"/>
          <w:color w:val="147D88"/>
          <w:sz w:val="15"/>
        </w:rPr>
        <w:t>studio.arch.ladder</w:t>
      </w:r>
      <w:r>
        <w:t>). Une collision de noms d’affichage n’autorise pas une collision d’identifiants. Les renommages gardent les alias de migration documentés.</w:t>
      </w:r>
    </w:p>
    <w:p>
      <w:pPr>
        <w:pStyle w:val="Body"/>
      </w:pPr>
      <w:r>
        <w:rPr>
          <w:b/>
          <w:i w:val="0"/>
        </w:rPr>
        <w:t>EX-028 — Validation à deux niveaux.</w:t>
      </w:r>
      <w:r>
        <w:t xml:space="preserve"> Les métadonnées et le schéma peuvent être contrôlés au build ; chaque invocation effective fait l’objet des contrôles d’exécution, notamment permission, contexte, paramètres, quotas et révision.</w:t>
      </w:r>
    </w:p>
    <w:p>
      <w:pPr>
        <w:pStyle w:val="H2"/>
      </w:pPr>
      <w:r>
        <w:t>5.2. Champs du contrat d’outil</w:t>
      </w:r>
    </w:p>
    <w:tbl>
      <w:tblPr>
        <w:tblW w:type="auto" w:w="0"/>
        <w:jc w:val="center"/>
        <w:tblLayout w:type="fixed"/>
        <w:tblLook w:firstColumn="1" w:firstRow="1" w:lastColumn="0" w:lastRow="0" w:noHBand="0" w:noVBand="1" w:val="04A0"/>
      </w:tblPr>
      <w:tblGrid>
        <w:gridCol w:w="5003"/>
        <w:gridCol w:w="5003"/>
      </w:tblGrid>
      <w:tr>
        <w:trPr>
          <w:tblHeader w:val="true"/>
        </w:trPr>
        <w:tc>
          <w:tcPr>
            <w:tcW w:type="dxa" w:w="27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Groupe</w:t>
            </w:r>
          </w:p>
        </w:tc>
        <w:tc>
          <w:tcPr>
            <w:tcW w:type="dxa" w:w="7305"/>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Champs / contraintes minimales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Identité</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toolId</w:t>
            </w:r>
            <w:r>
              <w:rPr>
                <w:rFonts w:ascii="Liberation Sans" w:hAnsi="Liberation Sans" w:eastAsia="Liberation Sans" w:cs="Liberation Sans"/>
                <w:color w:val="263442"/>
                <w:sz w:val="15"/>
              </w:rPr>
              <w:t xml:space="preserve"> stable, </w:t>
            </w:r>
            <w:r>
              <w:rPr>
                <w:rFonts w:ascii="Liberation Sans" w:hAnsi="Liberation Sans" w:eastAsia="Liberation Sans" w:cs="Liberation Sans"/>
                <w:b w:val="0"/>
                <w:color w:val="263442"/>
                <w:sz w:val="15"/>
              </w:rPr>
              <w:t>contractVersion</w:t>
            </w:r>
            <w:r>
              <w:rPr>
                <w:rFonts w:ascii="Liberation Sans" w:hAnsi="Liberation Sans" w:eastAsia="Liberation Sans" w:cs="Liberation Sans"/>
                <w:color w:val="263442"/>
                <w:sz w:val="15"/>
              </w:rPr>
              <w:t xml:space="preserve">, </w:t>
            </w:r>
            <w:r>
              <w:rPr>
                <w:rFonts w:ascii="Liberation Sans" w:hAnsi="Liberation Sans" w:eastAsia="Liberation Sans" w:cs="Liberation Sans"/>
                <w:b w:val="0"/>
                <w:color w:val="263442"/>
                <w:sz w:val="15"/>
              </w:rPr>
              <w:t>provider</w:t>
            </w:r>
            <w:r>
              <w:rPr>
                <w:rFonts w:ascii="Liberation Sans" w:hAnsi="Liberation Sans" w:eastAsia="Liberation Sans" w:cs="Liberation Sans"/>
                <w:color w:val="263442"/>
                <w:sz w:val="15"/>
              </w:rPr>
              <w:t>, domaine propriétaire, famille, libellés, synonymes.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Portée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Planches compatibles, types d’objets, spécialités, formats, périmètre utilisateur/projet.</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Visibilité</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Icône, groupe, raccourci par défaut, raccourcis en conflit, aide contextuelle.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Permissions</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Action métier précise, sujet autorisé, état requis, rôle/règle ; jamais confiance dans l’icône.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Entrées</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Schéma des paramètres, unités, repères, obligatoires, valeurs par défaut et provenance.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Interaction</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Machine d’état, événements, étapes, annulation, confirmations, saisie numérique.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Preview</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Type de prévisualisation, approximation permise, fidélité, retour d’erreur.</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Chargement</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Loader identifié, dépendances partagées, facultatives, masses critiques, stratégie de cache.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Exécution</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Phases locales, workers, WASM, serveur ; tâches annulables, version des sources.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Résultat</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Commande(s) métier, modèle cible, effets et dépendances à invalider.</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Historique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Stratégie inverse/delta/snapshot et compatibilité de révisions.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Résilience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Délais, relance, signalement, résultat périmé, absence de corruption partielle.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Performance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Profil cible, mesures p50/p95/p99, mémoire, taille initiale, coût d’activation.</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Vérification</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Tests unitaires, contractuels, d’intégrité, sécurité, accessibilité et non-régression.</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Gouvernance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État expérimental/autorisé/déprécié, support, migration et règles d’extension.</w:t>
            </w:r>
          </w:p>
        </w:tc>
      </w:tr>
    </w:tbl>
    <w:p>
      <w:pPr>
        <w:spacing w:after="40" w:before="0"/>
      </w:pPr>
    </w:p>
    <w:p>
      <w:pPr>
        <w:pStyle w:val="H2"/>
      </w:pPr>
      <w:r>
        <w:t>5.3. Contrat de manifeste illustratif</w:t>
      </w:r>
    </w:p>
    <w:p>
      <w:pPr>
        <w:pStyle w:val="CodeBlock"/>
        <w:keepLines/>
        <w:ind w:left="159" w:right="159"/>
        <w:shd w:fill="F1F5F8"/>
      </w:pPr>
      <w:r>
        <w:rPr>
          <w:rFonts w:ascii="Liberation Mono" w:hAnsi="Liberation Mono" w:eastAsia="Liberation Mono" w:cs="Liberation Mono"/>
          <w:color w:val="142B46"/>
          <w:sz w:val="15"/>
        </w:rPr>
        <w:t>{</w:t>
        <w:br/>
        <w:t xml:space="preserve">  "toolId": "studio.draw.line2d",</w:t>
        <w:br/>
        <w:t xml:space="preserve">  "contractVersion": "1.0.0",</w:t>
        <w:br/>
        <w:t xml:space="preserve">  "ownerDomain": "drawing",</w:t>
        <w:br/>
        <w:t xml:space="preserve">  "contexts": ["planche2d"],</w:t>
        <w:br/>
        <w:t xml:space="preserve">  "permission": "design.geometry.write",</w:t>
        <w:br/>
        <w:t xml:space="preserve">  "inputSchemaRef": "schemas/line2d.v1",</w:t>
        <w:br/>
        <w:t xml:space="preserve">  "loaderId": "drawing-primitives-2d",</w:t>
        <w:br/>
        <w:t xml:space="preserve">  "sharedDependencies": ["geometry-core", "snapping-2d"],</w:t>
        <w:br/>
        <w:t xml:space="preserve">  "optionalDependencies": [],</w:t>
        <w:br/>
        <w:t xml:space="preserve">  "preview": {"mode": "local", "canonicalWrite": false},</w:t>
        <w:br/>
        <w:t xml:space="preserve">  "commandType": "drawing.createLine",</w:t>
        <w:br/>
        <w:t xml:space="preserve">  "offline": {"prepare": true, "commit": "sync-dependent"},</w:t>
        <w:br/>
        <w:t xml:space="preserve">  "qualityProfile": "interactive-2d",</w:t>
        <w:br/>
        <w:t xml:space="preserve">  "lifecycle": "approved-proposal"</w:t>
        <w:br/>
        <w:t>}</w:t>
      </w:r>
    </w:p>
    <w:p>
      <w:pPr>
        <w:pStyle w:val="Body"/>
      </w:pPr>
      <w:r>
        <w:t xml:space="preserve">Les noms de permission, chemins et états du fragment sont </w:t>
      </w:r>
      <w:r>
        <w:rPr>
          <w:b/>
          <w:i w:val="0"/>
        </w:rPr>
        <w:t>exemplaires et non implémentés</w:t>
      </w:r>
      <w:r>
        <w:t>. Ils doivent être alignés sur le système d’autorisations existant avant adoption. Le contrat n’embarque aucun code arbitraire exécuté sur la foi d’un simple manifeste.</w:t>
      </w:r>
    </w:p>
    <w:p>
      <w:pPr>
        <w:pStyle w:val="H2"/>
      </w:pPr>
      <w:r>
        <w:t>5.4. Qualité du registre et découverte</w:t>
      </w:r>
    </w:p>
    <w:p>
      <w:pPr>
        <w:pStyle w:val="Body"/>
      </w:pPr>
      <w:r>
        <w:rPr>
          <w:b/>
          <w:i w:val="0"/>
        </w:rPr>
        <w:t>EX-029 — Recherche.</w:t>
      </w:r>
      <w:r>
        <w:t xml:space="preserve"> Requête par nom, synonymes, famille, domaine, contexte et identifiant ; la recherche ne lance pas le moteur. Pour chaque outil, l’interface expose : </w:t>
      </w:r>
      <w:r>
        <w:rPr>
          <w:rFonts w:ascii="Liberation Mono" w:hAnsi="Liberation Mono" w:eastAsia="Liberation Mono" w:cs="Liberation Mono"/>
          <w:b w:val="0"/>
          <w:color w:val="147D88"/>
          <w:sz w:val="15"/>
        </w:rPr>
        <w:t>découvert</w:t>
      </w:r>
      <w:r>
        <w:t xml:space="preserve">, </w:t>
      </w:r>
      <w:r>
        <w:rPr>
          <w:rFonts w:ascii="Liberation Mono" w:hAnsi="Liberation Mono" w:eastAsia="Liberation Mono" w:cs="Liberation Mono"/>
          <w:b w:val="0"/>
          <w:color w:val="147D88"/>
          <w:sz w:val="15"/>
        </w:rPr>
        <w:t>non disponible</w:t>
      </w:r>
      <w:r>
        <w:t xml:space="preserve">, </w:t>
      </w:r>
      <w:r>
        <w:rPr>
          <w:rFonts w:ascii="Liberation Mono" w:hAnsi="Liberation Mono" w:eastAsia="Liberation Mono" w:cs="Liberation Mono"/>
          <w:b w:val="0"/>
          <w:color w:val="147D88"/>
          <w:sz w:val="15"/>
        </w:rPr>
        <w:t>incompatible</w:t>
      </w:r>
      <w:r>
        <w:t xml:space="preserve">, </w:t>
      </w:r>
      <w:r>
        <w:rPr>
          <w:rFonts w:ascii="Liberation Mono" w:hAnsi="Liberation Mono" w:eastAsia="Liberation Mono" w:cs="Liberation Mono"/>
          <w:b w:val="0"/>
          <w:color w:val="147D88"/>
          <w:sz w:val="15"/>
        </w:rPr>
        <w:t>interdit</w:t>
      </w:r>
      <w:r>
        <w:t xml:space="preserve">, </w:t>
      </w:r>
      <w:r>
        <w:rPr>
          <w:rFonts w:ascii="Liberation Mono" w:hAnsi="Liberation Mono" w:eastAsia="Liberation Mono" w:cs="Liberation Mono"/>
          <w:b w:val="0"/>
          <w:color w:val="147D88"/>
          <w:sz w:val="15"/>
        </w:rPr>
        <w:t>non installé hors ligne</w:t>
      </w:r>
      <w:r>
        <w:t xml:space="preserve">, </w:t>
      </w:r>
      <w:r>
        <w:rPr>
          <w:rFonts w:ascii="Liberation Mono" w:hAnsi="Liberation Mono" w:eastAsia="Liberation Mono" w:cs="Liberation Mono"/>
          <w:b w:val="0"/>
          <w:color w:val="147D88"/>
          <w:sz w:val="15"/>
        </w:rPr>
        <w:t>en chargement</w:t>
      </w:r>
      <w:r>
        <w:t xml:space="preserve">, </w:t>
      </w:r>
      <w:r>
        <w:rPr>
          <w:rFonts w:ascii="Liberation Mono" w:hAnsi="Liberation Mono" w:eastAsia="Liberation Mono" w:cs="Liberation Mono"/>
          <w:b w:val="0"/>
          <w:color w:val="147D88"/>
          <w:sz w:val="15"/>
        </w:rPr>
        <w:t>prêt</w:t>
      </w:r>
      <w:r>
        <w:t xml:space="preserve">, </w:t>
      </w:r>
      <w:r>
        <w:rPr>
          <w:rFonts w:ascii="Liberation Mono" w:hAnsi="Liberation Mono" w:eastAsia="Liberation Mono" w:cs="Liberation Mono"/>
          <w:b w:val="0"/>
          <w:color w:val="147D88"/>
          <w:sz w:val="15"/>
        </w:rPr>
        <w:t>erreur</w:t>
      </w:r>
      <w:r>
        <w:t>.</w:t>
      </w:r>
    </w:p>
    <w:p>
      <w:pPr>
        <w:pStyle w:val="Body"/>
      </w:pPr>
      <w:r>
        <w:rPr>
          <w:b/>
          <w:i w:val="0"/>
        </w:rPr>
        <w:t>EX-030 — Versions.</w:t>
      </w:r>
      <w:r>
        <w:t xml:space="preserve"> Un changement majeur du contrat exige un plan de compatibilité avec profils enregistrés, commandes hors ligne en attente et documents réouvrables. Un module marqué « déprécié » reste résoluble tant que sa présence est nécessaire à la lecture d’un travail existant, ou fournit une migration sûre.</w:t>
      </w:r>
    </w:p>
    <w:p>
      <w:pPr>
        <w:pStyle w:val="Body"/>
      </w:pPr>
      <w:r>
        <w:rPr>
          <w:b/>
          <w:i w:val="0"/>
        </w:rPr>
        <w:t>EX-031 — Extensibilité sûre.</w:t>
      </w:r>
      <w:r>
        <w:t xml:space="preserve"> La déclaration d’extension indique provenance, version, signature ou mécanisme de confiance choisi, permissions demandées, dépendances, mises à jour et support. « Trouvé dans le Registry » ne signifie pas « autorisé à charger/écrire ». Les extensions tierces restent une décision ouverte.</w:t>
      </w:r>
    </w:p>
    <w:p>
      <w:pPr>
        <w:pStyle w:val="H1"/>
        <w:pageBreakBefore w:val="0"/>
        <w:spacing w:before="240"/>
        <w:pBdr>
          <w:bottom w:val="single" w:sz="12" w:space="6" w:color="147D88"/>
        </w:pBdr>
      </w:pPr>
      <w:r>
        <w:t>6. Tool Manager — sélection, profils et ergonomie</w:t>
      </w:r>
    </w:p>
    <w:p>
      <w:pPr>
        <w:pStyle w:val="H2"/>
      </w:pPr>
      <w:r>
        <w:t>6.1. Séparation gestion / exécution</w:t>
      </w:r>
    </w:p>
    <w:p>
      <w:pPr>
        <w:pStyle w:val="Body"/>
      </w:pPr>
      <w:r>
        <w:rPr>
          <w:b/>
          <w:i w:val="0"/>
        </w:rPr>
        <w:t>EX-032 — Manager.</w:t>
      </w:r>
      <w:r>
        <w:t xml:space="preserve"> Le Tool Manager construit les barres, réconcilie les préférences et le contexte, résout les loaders, active/désactive les machines d’outil et expédie les événements. Il n’effectue pas lui-même de booléens, de tessellation ou de validation canonique.</w:t>
      </w:r>
    </w:p>
    <w:p>
      <w:pPr>
        <w:pStyle w:val="Body"/>
      </w:pPr>
      <w:r>
        <w:rPr>
          <w:b/>
          <w:i w:val="0"/>
        </w:rPr>
        <w:t>IF-005 — Cycle d’activation.</w:t>
      </w:r>
      <w:r>
        <w:t xml:space="preserve"> </w:t>
      </w:r>
      <w:r>
        <w:rPr>
          <w:rFonts w:ascii="Liberation Mono" w:hAnsi="Liberation Mono" w:eastAsia="Liberation Mono" w:cs="Liberation Mono"/>
          <w:b w:val="0"/>
          <w:color w:val="147D88"/>
          <w:sz w:val="15"/>
        </w:rPr>
        <w:t>découvert → vérification de contexte/droits → résolution des dépendances → chargement du code → initialisation → prêt → actif → suspendu/désactivé</w:t>
      </w:r>
      <w:r>
        <w:t xml:space="preserve"> ; erreurs </w:t>
      </w:r>
      <w:r>
        <w:rPr>
          <w:rFonts w:ascii="Liberation Mono" w:hAnsi="Liberation Mono" w:eastAsia="Liberation Mono" w:cs="Liberation Mono"/>
          <w:b w:val="0"/>
          <w:color w:val="147D88"/>
          <w:sz w:val="15"/>
        </w:rPr>
        <w:t>incompatible</w:t>
      </w:r>
      <w:r>
        <w:t xml:space="preserve">, </w:t>
      </w:r>
      <w:r>
        <w:rPr>
          <w:rFonts w:ascii="Liberation Mono" w:hAnsi="Liberation Mono" w:eastAsia="Liberation Mono" w:cs="Liberation Mono"/>
          <w:b w:val="0"/>
          <w:color w:val="147D88"/>
          <w:sz w:val="15"/>
        </w:rPr>
        <w:t>permission refusée</w:t>
      </w:r>
      <w:r>
        <w:t xml:space="preserve">, </w:t>
      </w:r>
      <w:r>
        <w:rPr>
          <w:rFonts w:ascii="Liberation Mono" w:hAnsi="Liberation Mono" w:eastAsia="Liberation Mono" w:cs="Liberation Mono"/>
          <w:b w:val="0"/>
          <w:color w:val="147D88"/>
          <w:sz w:val="15"/>
        </w:rPr>
        <w:t>hors ligne</w:t>
      </w:r>
      <w:r>
        <w:t xml:space="preserve">, </w:t>
      </w:r>
      <w:r>
        <w:rPr>
          <w:rFonts w:ascii="Liberation Mono" w:hAnsi="Liberation Mono" w:eastAsia="Liberation Mono" w:cs="Liberation Mono"/>
          <w:b w:val="0"/>
          <w:color w:val="147D88"/>
          <w:sz w:val="15"/>
        </w:rPr>
        <w:t>échec de chargement</w:t>
      </w:r>
      <w:r>
        <w:t xml:space="preserve">, </w:t>
      </w:r>
      <w:r>
        <w:rPr>
          <w:rFonts w:ascii="Liberation Mono" w:hAnsi="Liberation Mono" w:eastAsia="Liberation Mono" w:cs="Liberation Mono"/>
          <w:b w:val="0"/>
          <w:color w:val="147D88"/>
          <w:sz w:val="15"/>
        </w:rPr>
        <w:t>échec du noyau</w:t>
      </w:r>
      <w:r>
        <w:t>. La transition ne doit pas perdre un geste inachevé sans retour visible.</w:t>
      </w:r>
    </w:p>
    <w:p>
      <w:pPr>
        <w:pStyle w:val="H2"/>
      </w:pPr>
      <w:r>
        <w:t>6.2. Profils utilisateur</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Profil</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Création</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Règles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Standard Studio</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Fourni par Fadi.</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Quatre domaines stables et commandes de base disponibles.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Métier</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Préconfiguré par spécialité.</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Sélection de capacités existantes, pas de nouvelles autorisations.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Personnel</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Créé par l’utilisateur.</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Favoris, groupes, barres, raccourcis et panneaux personnels.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Équipe (option)</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Distribué avec droits de gestion.</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Référence partageable, application volontaire ou administrée selon contrat, sans changement du modèle.</w:t>
            </w:r>
          </w:p>
        </w:tc>
      </w:tr>
    </w:tbl>
    <w:p>
      <w:pPr>
        <w:spacing w:after="40" w:before="0"/>
      </w:pPr>
    </w:p>
    <w:p>
      <w:pPr>
        <w:pStyle w:val="Body"/>
      </w:pPr>
      <w:r>
        <w:rPr>
          <w:b/>
          <w:i w:val="0"/>
        </w:rPr>
        <w:t>EX-033 — Personnalisation sûre.</w:t>
      </w:r>
      <w:r>
        <w:t xml:space="preserve"> Retirer un bouton ne désinstalle ni l’outil ni les objets créés avec lui. Importer un profil ne confère pas de permissions. Le passage d’un profil à l’autre ne produit pas de révision du bâtiment.</w:t>
      </w:r>
    </w:p>
    <w:p>
      <w:pPr>
        <w:pStyle w:val="Body"/>
      </w:pPr>
      <w:r>
        <w:rPr>
          <w:b/>
          <w:i w:val="0"/>
        </w:rPr>
        <w:t>EX-034 — Persistance des profils.</w:t>
      </w:r>
      <w:r>
        <w:t xml:space="preserve"> Un profil possède </w:t>
      </w:r>
      <w:r>
        <w:rPr>
          <w:rFonts w:ascii="Liberation Mono" w:hAnsi="Liberation Mono" w:eastAsia="Liberation Mono" w:cs="Liberation Mono"/>
          <w:b w:val="0"/>
          <w:color w:val="147D88"/>
          <w:sz w:val="15"/>
        </w:rPr>
        <w:t>profileId</w:t>
      </w:r>
      <w:r>
        <w:t>, propriétaire, version, ordre des capacités, raccourcis, visibilité, réglages et contexte. Les conflits de raccourcis sont détectés, explicités et résolus sans effacer la configuration source.</w:t>
      </w:r>
    </w:p>
    <w:p>
      <w:pPr>
        <w:pStyle w:val="Body"/>
      </w:pPr>
      <w:r>
        <w:rPr>
          <w:b/>
          <w:i w:val="0"/>
        </w:rPr>
        <w:t>EX-035 — Commande de recherche.</w:t>
      </w:r>
      <w:r>
        <w:t xml:space="preserve"> Le catalogue complet reste accessible indépendamment de la barre active. Un outil interdit ou incompatible peut être recherché à des fins d’information, mais n’est pas offert comme action exécutable.</w:t>
      </w:r>
    </w:p>
    <w:p>
      <w:pPr>
        <w:pStyle w:val="H2"/>
      </w:pPr>
      <w:r>
        <w:t>6.3. Interaction clavier, stylet et mobile</w:t>
      </w:r>
    </w:p>
    <w:p>
      <w:pPr>
        <w:pStyle w:val="Body"/>
      </w:pPr>
      <w:r>
        <w:rPr>
          <w:b/>
          <w:i w:val="0"/>
        </w:rPr>
        <w:t>EX-036 — Accessibilité.</w:t>
      </w:r>
      <w:r>
        <w:t xml:space="preserve"> Chaque commande affichée possède un nom compréhensible, un état actif/chargement/interdit, un parcours clavier et un retour d’erreur. Les gestes impossibles au seul clavier possèdent un chemin alternatif adapté au contexte, à définir dans les spécifications UX. Le changement de focus entre Planche 2D et 3D est visible.</w:t>
      </w:r>
    </w:p>
    <w:p>
      <w:pPr>
        <w:pStyle w:val="Body"/>
      </w:pPr>
      <w:r>
        <w:rPr>
          <w:b/>
          <w:i w:val="0"/>
        </w:rPr>
        <w:t>EX-037 — Continuité des gestes.</w:t>
      </w:r>
      <w:r>
        <w:t xml:space="preserve"> La palette contextuelle ne doit pas perturber les séquences de dessin, la saisie numérique ni les modificateurs de contraintes. Les préférences de présentation sont distinctes des paramètres de géométrie enregistrés.</w:t>
      </w:r>
    </w:p>
    <w:p>
      <w:pPr>
        <w:pStyle w:val="H2"/>
      </w:pPr>
      <w:r>
        <w:t>6.4. Indicateurs d’usage</w:t>
      </w:r>
    </w:p>
    <w:p>
      <w:pPr>
        <w:pStyle w:val="Body"/>
      </w:pPr>
      <w:r>
        <w:t>Les indicateurs pertinents sont : délai de première action, délai d’activation d’un outil favori, nombre de commandes recherchées, problèmes de raccourcis, succès des tâches représentatives et coût réseau/mémoire du profil. Les journaux ne doivent pas exposer le contenu confidentiel d’une étude sans nécessité et autorisation.</w:t>
      </w:r>
    </w:p>
    <w:p>
      <w:pPr>
        <w:pStyle w:val="H1"/>
        <w:pageBreakBefore w:val="0"/>
        <w:spacing w:before="240"/>
        <w:pBdr>
          <w:bottom w:val="single" w:sz="12" w:space="6" w:color="147D88"/>
        </w:pBdr>
      </w:pPr>
      <w:r>
        <w:t>7. Chargement modulaire, cache et mode hors connexion</w:t>
      </w:r>
    </w:p>
    <w:p>
      <w:pPr>
        <w:pStyle w:val="H2"/>
      </w:pPr>
      <w:r>
        <w:t>7.1. Chargement en trois temps</w:t>
      </w:r>
    </w:p>
    <w:p>
      <w:pPr>
        <w:pStyle w:val="Body"/>
      </w:pPr>
      <w:r>
        <w:rPr>
          <w:b/>
          <w:i w:val="0"/>
        </w:rPr>
        <w:t>EX-038 — Démarrage léger.</w:t>
      </w:r>
      <w:r>
        <w:t xml:space="preserve"> À l’ouverture du Studio : interface minimale, identité/profil, contexte d’étude, métadonnées du registre et commandes essentielles. Aucune initialisation systématique de tous les outils spécialisés, d’OCCT, des moteurs 3D non sollicités ou de leurs workers.</w:t>
      </w:r>
    </w:p>
    <w:p>
      <w:pPr>
        <w:pStyle w:val="Body"/>
      </w:pPr>
      <w:r>
        <w:rPr>
          <w:b/>
          <w:i w:val="0"/>
        </w:rPr>
        <w:t>EX-039 — Ouverture de planche.</w:t>
      </w:r>
      <w:r>
        <w:t xml:space="preserve"> La première Planche 2D initialise uniquement les composants nécessaires à sa représentation et à ses commandes usuelles. La Planche 3D initialise son renderer et les machines utiles. Les deux peuvent cohabiter lorsque l’utilisateur les ouvre, sans forcer le téléchargement de tout le catalogue.</w:t>
      </w:r>
    </w:p>
    <w:p>
      <w:pPr>
        <w:pStyle w:val="Body"/>
      </w:pPr>
      <w:r>
        <w:rPr>
          <w:b/>
          <w:i w:val="0"/>
        </w:rPr>
        <w:t>EX-040 — Activation rare.</w:t>
      </w:r>
      <w:r>
        <w:t xml:space="preserve"> Une opération particulière déclenche le chargement de son module et de ses dépendances manquantes, puis conserve ou libère les ressources selon une politique documentée. Un moteur déjà initialisé et compatible ne doit pas être réinitialisé sans raison.</w:t>
      </w:r>
    </w:p>
    <w:p>
      <w:pPr>
        <w:pStyle w:val="Body"/>
      </w:pPr>
      <w:r>
        <w:rPr>
          <w:b/>
          <w:i w:val="0"/>
        </w:rPr>
        <w:t>EX-041 — Partage de dépendances.</w:t>
      </w:r>
      <w:r>
        <w:t xml:space="preserve"> Les modules d’outils mutualisent la géométrie fondamentale, les bibliothèques graphiques et les noyaux exacts. Un découpage en un fichier par bouton est interdit comme obligation universelle : la granularité est choisie à partir des coûts de chargement, des dépendances et du comportement réel de l’utilisateur.</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Moment</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Autorisé par défaut</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À éviter</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Démarrage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Registre textuel léger et préférences.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Import statique du code lourd non nécessaire.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Ouvrir Planche 2D</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Socle 2D, accrochage, outils favoris.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Démarrage forcé de Three.js/OCCT si non employés.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Ouvrir Planche 3D</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Rendu, navigation, machines utilisées.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Chargement du rendu de présentation et de toutes les spécialités.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Activer outil lourd</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Worker/WASM spécifique, après préconditions.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Copies indépendantes du même noyau par outil.</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Devenir hors ligne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Contenu explicitement présent dans le cache.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Promesse de disponibilité d’un outil non téléchargé.</w:t>
            </w:r>
          </w:p>
        </w:tc>
      </w:tr>
    </w:tbl>
    <w:p>
      <w:pPr>
        <w:spacing w:after="40" w:before="0"/>
      </w:pPr>
    </w:p>
    <w:p>
      <w:pPr>
        <w:pStyle w:val="H2"/>
      </w:pPr>
      <w:r>
        <w:t>7.2. Politique du service worker et cache</w:t>
      </w:r>
    </w:p>
    <w:p>
      <w:pPr>
        <w:pStyle w:val="Body"/>
      </w:pPr>
      <w:r>
        <w:rPr>
          <w:b/>
          <w:i w:val="0"/>
        </w:rPr>
        <w:t>EX-042 — Cache différencié.</w:t>
      </w:r>
      <w:r>
        <w:t xml:space="preserve"> Le service worker gère séparément : (a) shell minimal, (b) ressources essentielles d’un profil, (c) modules facultatifs, (d) données métier et file de commandes. Le préchargement complet du build n’est pas considéré comme équivalent au chargement différé, même si le code n’est pas encore exécuté.</w:t>
      </w:r>
    </w:p>
    <w:p>
      <w:pPr>
        <w:pStyle w:val="Body"/>
      </w:pPr>
      <w:r>
        <w:rPr>
          <w:b/>
          <w:i w:val="0"/>
        </w:rPr>
        <w:t>EX-043 — Offline véridique.</w:t>
      </w:r>
      <w:r>
        <w:t xml:space="preserve"> Une capacité n’est annoncée utilisable hors réseau que si les modules, dépendances et données de référence indispensables sont présents et compatibles. Une action exigeant l’autorité centrale peut être préparée localement selon contrat, mais n’est jamais marquée « publiée/approuvée » avant validation centrale.</w:t>
      </w:r>
    </w:p>
    <w:p>
      <w:pPr>
        <w:pStyle w:val="Body"/>
      </w:pPr>
      <w:r>
        <w:rPr>
          <w:b/>
          <w:i w:val="0"/>
        </w:rPr>
        <w:t>EX-044 — Versions du cache.</w:t>
      </w:r>
      <w:r>
        <w:t xml:space="preserve"> Le système conserve la correspondance </w:t>
      </w:r>
      <w:r>
        <w:rPr>
          <w:rFonts w:ascii="Liberation Mono" w:hAnsi="Liberation Mono" w:eastAsia="Liberation Mono" w:cs="Liberation Mono"/>
          <w:b w:val="0"/>
          <w:color w:val="147D88"/>
          <w:sz w:val="15"/>
        </w:rPr>
        <w:t>buildId ↔ toolContractVersion ↔ schemaVersion</w:t>
      </w:r>
      <w:r>
        <w:t>, protège les commandes en attente et évite qu’une mise à jour invalide une opération locale sans explication. Les politiques d’éviction doivent respecter les limites de quota et préserver prioritairement les données non synchronisées.</w:t>
      </w:r>
    </w:p>
    <w:p>
      <w:pPr>
        <w:pStyle w:val="H2"/>
      </w:pPr>
      <w:r>
        <w:t>7.3. Éviction, mémoire et énergie</w:t>
      </w:r>
    </w:p>
    <w:p>
      <w:pPr>
        <w:pStyle w:val="Body"/>
      </w:pPr>
      <w:r>
        <w:t xml:space="preserve">Les ressources peuvent être </w:t>
      </w:r>
      <w:r>
        <w:rPr>
          <w:rFonts w:ascii="Liberation Mono" w:hAnsi="Liberation Mono" w:eastAsia="Liberation Mono" w:cs="Liberation Mono"/>
          <w:b w:val="0"/>
          <w:color w:val="147D88"/>
          <w:sz w:val="15"/>
        </w:rPr>
        <w:t>non téléchargées</w:t>
      </w:r>
      <w:r>
        <w:t xml:space="preserve">, </w:t>
      </w:r>
      <w:r>
        <w:rPr>
          <w:rFonts w:ascii="Liberation Mono" w:hAnsi="Liberation Mono" w:eastAsia="Liberation Mono" w:cs="Liberation Mono"/>
          <w:b w:val="0"/>
          <w:color w:val="147D88"/>
          <w:sz w:val="15"/>
        </w:rPr>
        <w:t>téléchargées</w:t>
      </w:r>
      <w:r>
        <w:t xml:space="preserve">, </w:t>
      </w:r>
      <w:r>
        <w:rPr>
          <w:rFonts w:ascii="Liberation Mono" w:hAnsi="Liberation Mono" w:eastAsia="Liberation Mono" w:cs="Liberation Mono"/>
          <w:b w:val="0"/>
          <w:color w:val="147D88"/>
          <w:sz w:val="15"/>
        </w:rPr>
        <w:t>en mémoire</w:t>
      </w:r>
      <w:r>
        <w:t xml:space="preserve">, </w:t>
      </w:r>
      <w:r>
        <w:rPr>
          <w:rFonts w:ascii="Liberation Mono" w:hAnsi="Liberation Mono" w:eastAsia="Liberation Mono" w:cs="Liberation Mono"/>
          <w:b w:val="0"/>
          <w:color w:val="147D88"/>
          <w:sz w:val="15"/>
        </w:rPr>
        <w:t>initialisées</w:t>
      </w:r>
      <w:r>
        <w:t xml:space="preserve">, </w:t>
      </w:r>
      <w:r>
        <w:rPr>
          <w:rFonts w:ascii="Liberation Mono" w:hAnsi="Liberation Mono" w:eastAsia="Liberation Mono" w:cs="Liberation Mono"/>
          <w:b w:val="0"/>
          <w:color w:val="147D88"/>
          <w:sz w:val="15"/>
        </w:rPr>
        <w:t>utilisées</w:t>
      </w:r>
      <w:r>
        <w:t xml:space="preserve">, </w:t>
      </w:r>
      <w:r>
        <w:rPr>
          <w:rFonts w:ascii="Liberation Mono" w:hAnsi="Liberation Mono" w:eastAsia="Liberation Mono" w:cs="Liberation Mono"/>
          <w:b w:val="0"/>
          <w:color w:val="147D88"/>
          <w:sz w:val="15"/>
        </w:rPr>
        <w:t>inactives</w:t>
      </w:r>
      <w:r>
        <w:t xml:space="preserve">, </w:t>
      </w:r>
      <w:r>
        <w:rPr>
          <w:rFonts w:ascii="Liberation Mono" w:hAnsi="Liberation Mono" w:eastAsia="Liberation Mono" w:cs="Liberation Mono"/>
          <w:b w:val="0"/>
          <w:color w:val="147D88"/>
          <w:sz w:val="15"/>
        </w:rPr>
        <w:t>libérées</w:t>
      </w:r>
      <w:r>
        <w:t xml:space="preserve">. Les conditions de libération comprennent inactivité, fermeture de vue, pression mémoire, changement de profil et fin de tâche. Un worker OCCT persistant est un </w:t>
      </w:r>
      <w:r>
        <w:rPr>
          <w:b/>
          <w:i w:val="0"/>
        </w:rPr>
        <w:t>coût mémoire</w:t>
      </w:r>
      <w:r>
        <w:t xml:space="preserve"> distinct de sa taille compressée sur réseau ; il ne doit pas être multiplié par outil.</w:t>
      </w:r>
    </w:p>
    <w:p>
      <w:pPr>
        <w:pStyle w:val="Body"/>
      </w:pPr>
      <w:r>
        <w:rPr>
          <w:b/>
          <w:i w:val="0"/>
        </w:rPr>
        <w:t>AC-002.</w:t>
      </w:r>
      <w:r>
        <w:t xml:space="preserve"> Une barre contenant environ vingt outils de dessin usuels peut être ouverte sans initialiser tous les modules spécialisés. Le test compare les requêtes réseau, la taille transférée, les chunks exécutés et l’empreinte mémoire à une référence, en distinguant cache froid et chaud. Aucun taux de réduction n’est présumé avant mesure.</w:t>
      </w:r>
    </w:p>
    <w:p>
      <w:pPr>
        <w:pStyle w:val="H1"/>
        <w:pageBreakBefore w:val="0"/>
        <w:spacing w:before="240"/>
        <w:pBdr>
          <w:bottom w:val="single" w:sz="12" w:space="6" w:color="147D88"/>
        </w:pBdr>
      </w:pPr>
      <w:r>
        <w:t>8. Contrat des commandes, transactions, historique et collaboration</w:t>
      </w:r>
    </w:p>
    <w:p>
      <w:pPr>
        <w:pStyle w:val="H2"/>
      </w:pPr>
      <w:r>
        <w:t>8.1. Enveloppe d’intention proposée</w:t>
      </w:r>
    </w:p>
    <w:p>
      <w:pPr>
        <w:pStyle w:val="Body"/>
      </w:pPr>
      <w:r>
        <w:rPr>
          <w:b/>
          <w:i w:val="0"/>
        </w:rPr>
        <w:t>IF-006 — Commande métier.</w:t>
      </w:r>
      <w:r>
        <w:t xml:space="preserve"> Le contrat de transport doit exprimer les attributs logiques suivants ; l’objet est une proposition de schéma et non une API actuellement exposée.</w:t>
      </w:r>
    </w:p>
    <w:p>
      <w:pPr>
        <w:pStyle w:val="CodeBlock"/>
        <w:keepLines/>
        <w:ind w:left="159" w:right="159"/>
        <w:shd w:fill="F1F5F8"/>
      </w:pPr>
      <w:r>
        <w:rPr>
          <w:rFonts w:ascii="Liberation Mono" w:hAnsi="Liberation Mono" w:eastAsia="Liberation Mono" w:cs="Liberation Mono"/>
          <w:color w:val="142B46"/>
          <w:sz w:val="15"/>
        </w:rPr>
        <w:t>{</w:t>
        <w:br/>
        <w:t xml:space="preserve">  "requestId": "idempotency-uuid",</w:t>
        <w:br/>
        <w:t xml:space="preserve">  "toolId": "studio.arch.wall",</w:t>
        <w:br/>
        <w:t xml:space="preserve">  "contractVersion": "1.0.0",</w:t>
        <w:br/>
        <w:t xml:space="preserve">  "actorId": "actor-ref",</w:t>
        <w:br/>
        <w:t xml:space="preserve">  "scope": {</w:t>
        <w:br/>
        <w:t xml:space="preserve">    "projectId": "p", "studyId": "s", "variantId": "v",</w:t>
        <w:br/>
        <w:t xml:space="preserve">    "baseRevisionId": "R12"</w:t>
        <w:br/>
        <w:t xml:space="preserve">  },</w:t>
        <w:br/>
        <w:t xml:space="preserve">  "targetIds": ["wall-42"],</w:t>
        <w:br/>
        <w:t xml:space="preserve">  "operation": "architecture.updateWall",</w:t>
        <w:br/>
        <w:t xml:space="preserve">  "parameters": {"height": 3.0, "unit": "m"},</w:t>
        <w:br/>
        <w:t xml:space="preserve">  "mode": "commit"</w:t>
        <w:br/>
        <w:t>}</w:t>
      </w:r>
    </w:p>
    <w:p>
      <w:pPr>
        <w:pStyle w:val="Body"/>
      </w:pPr>
      <w:r>
        <w:t xml:space="preserve">Le serveur établit lui-même l’identité authentifiée et vérifie sa concordance avec l’enveloppe ; un </w:t>
      </w:r>
      <w:r>
        <w:rPr>
          <w:rFonts w:ascii="Liberation Mono" w:hAnsi="Liberation Mono" w:eastAsia="Liberation Mono" w:cs="Liberation Mono"/>
          <w:b w:val="0"/>
          <w:color w:val="147D88"/>
          <w:sz w:val="15"/>
        </w:rPr>
        <w:t>actorId</w:t>
      </w:r>
      <w:r>
        <w:t xml:space="preserve"> fourni par le navigateur ne crée aucun droit. Les identifiants de contexte doivent être autorisés et la version de base vérifiée. Les coordonnées, tolérances et unités appartiennent au contrat de chaque opération.</w:t>
      </w:r>
    </w:p>
    <w:p>
      <w:pPr>
        <w:pStyle w:val="H2"/>
      </w:pPr>
      <w:r>
        <w:t>8.2. Résultat d’opération et refus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Issue</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Données de retour exigées</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Effet autorisé</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accepted</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Révision issue, objets affectés, effets métier, référence d’historique.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Actualiser la projection et les contenus dépendants.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rejected</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Code, validation échouée, détail utile et non sensible.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Aucune mutation canonique.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conflict</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Révision courante, objets divergents, motif, option de résolution.</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Aucun écrasement automatique.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pending</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Job, source, état, annulation et mode de récupération.</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Aucun statut de réussite anticipé.</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duplicate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 xml:space="preserve">Référence au premier résultat d’un même </w:t>
            </w:r>
            <w:r>
              <w:rPr>
                <w:rFonts w:ascii="Liberation Sans" w:hAnsi="Liberation Sans" w:eastAsia="Liberation Sans" w:cs="Liberation Sans"/>
                <w:b w:val="0"/>
                <w:color w:val="263442"/>
                <w:sz w:val="15"/>
              </w:rPr>
              <w:t>requestId</w:t>
            </w:r>
            <w:r>
              <w:rPr>
                <w:rFonts w:ascii="Liberation Sans" w:hAnsi="Liberation Sans" w:eastAsia="Liberation Sans" w:cs="Liberation Sans"/>
                <w:color w:val="263442"/>
                <w:sz w:val="15"/>
              </w:rPr>
              <w:t>.</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Aucune deuxième application.</w:t>
            </w:r>
          </w:p>
        </w:tc>
      </w:tr>
    </w:tbl>
    <w:p>
      <w:pPr>
        <w:spacing w:after="40" w:before="0"/>
      </w:pPr>
    </w:p>
    <w:p>
      <w:pPr>
        <w:pStyle w:val="Body"/>
      </w:pPr>
      <w:r>
        <w:rPr>
          <w:b/>
          <w:i w:val="0"/>
        </w:rPr>
        <w:t>EX-045 — Prévisualisation distincte.</w:t>
      </w:r>
      <w:r>
        <w:t xml:space="preserve"> Un appel d’essai ne produit pas de mutation permanente. La réponse peut fournir géométrie, contraintes et avertissements, avec portée de validité de révision. Un calcul prévisualisé et non confirmé est révoqué sans effets de référence.</w:t>
      </w:r>
    </w:p>
    <w:p>
      <w:pPr>
        <w:pStyle w:val="Body"/>
      </w:pPr>
      <w:r>
        <w:rPr>
          <w:b/>
          <w:i w:val="0"/>
        </w:rPr>
        <w:t>EX-046 — Journal d’audit.</w:t>
      </w:r>
      <w:r>
        <w:t xml:space="preserve"> Les engagements persistants exposent qui a demandé, sur quoi, quand, à partir de quelle révision, avec quel résultat et quelles identités touchées. Les événements sensibles suivent une politique de minimisation et de conservation explicite.</w:t>
      </w:r>
    </w:p>
    <w:p>
      <w:pPr>
        <w:pStyle w:val="H2"/>
      </w:pPr>
      <w:r>
        <w:t>8.3. Annulation et rétablissement</w:t>
      </w:r>
    </w:p>
    <w:p>
      <w:pPr>
        <w:pStyle w:val="Body"/>
      </w:pPr>
      <w:r>
        <w:rPr>
          <w:b/>
          <w:i w:val="0"/>
        </w:rPr>
        <w:t>EX-047 — Historique hybride.</w:t>
      </w:r>
      <w:r>
        <w:t xml:space="preserve"> Le Studio conserve les mécanismes éprouvés de Fadi lorsque l’audit démontre leur adéquation : commandes métier, deltas de Planche, états immuables/instantanés locaux. Les inverses, deltas et snapshots sont choisis selon exactitude, volume mémoire et concurrence ; aucune promesse générale d’annulation en </w:t>
      </w:r>
      <w:r>
        <w:rPr>
          <w:rFonts w:ascii="Liberation Mono" w:hAnsi="Liberation Mono" w:eastAsia="Liberation Mono" w:cs="Liberation Mono"/>
          <w:b w:val="0"/>
          <w:color w:val="147D88"/>
          <w:sz w:val="15"/>
        </w:rPr>
        <w:t>O(1)</w:t>
      </w:r>
      <w:r>
        <w:t xml:space="preserve"> n’est émise.</w:t>
      </w:r>
    </w:p>
    <w:p>
      <w:pPr>
        <w:pStyle w:val="Body"/>
      </w:pPr>
      <w:r>
        <w:rPr>
          <w:b/>
          <w:i w:val="0"/>
        </w:rPr>
        <w:t>EX-048 — Annulation collaborative.</w:t>
      </w:r>
      <w:r>
        <w:t xml:space="preserve"> Annuler une commande acceptée peut nécessiter une nouvelle commande inverse sur la révision actuelle. Le serveur revalide les objets modifiés entre-temps ; l’historique ou la publication précédente n’est pas réécrit.</w:t>
      </w:r>
    </w:p>
    <w:p>
      <w:pPr>
        <w:pStyle w:val="Body"/>
      </w:pPr>
      <w:r>
        <w:rPr>
          <w:b/>
          <w:i w:val="0"/>
        </w:rPr>
        <w:t>EX-049 — Reprise de session.</w:t>
      </w:r>
      <w:r>
        <w:t xml:space="preserve"> Au retour après interruption, l’interface distingue opérations </w:t>
      </w:r>
      <w:r>
        <w:rPr>
          <w:rFonts w:ascii="Liberation Mono" w:hAnsi="Liberation Mono" w:eastAsia="Liberation Mono" w:cs="Liberation Mono"/>
          <w:b w:val="0"/>
          <w:color w:val="147D88"/>
          <w:sz w:val="15"/>
        </w:rPr>
        <w:t>confirmées</w:t>
      </w:r>
      <w:r>
        <w:t xml:space="preserve">, </w:t>
      </w:r>
      <w:r>
        <w:rPr>
          <w:rFonts w:ascii="Liberation Mono" w:hAnsi="Liberation Mono" w:eastAsia="Liberation Mono" w:cs="Liberation Mono"/>
          <w:b w:val="0"/>
          <w:color w:val="147D88"/>
          <w:sz w:val="15"/>
        </w:rPr>
        <w:t>en attente de synchronisation</w:t>
      </w:r>
      <w:r>
        <w:t xml:space="preserve">, </w:t>
      </w:r>
      <w:r>
        <w:rPr>
          <w:rFonts w:ascii="Liberation Mono" w:hAnsi="Liberation Mono" w:eastAsia="Liberation Mono" w:cs="Liberation Mono"/>
          <w:b w:val="0"/>
          <w:color w:val="147D88"/>
          <w:sz w:val="15"/>
        </w:rPr>
        <w:t>rejetées/conflictuelles</w:t>
      </w:r>
      <w:r>
        <w:t xml:space="preserve">, </w:t>
      </w:r>
      <w:r>
        <w:rPr>
          <w:rFonts w:ascii="Liberation Mono" w:hAnsi="Liberation Mono" w:eastAsia="Liberation Mono" w:cs="Liberation Mono"/>
          <w:b w:val="0"/>
          <w:color w:val="147D88"/>
          <w:sz w:val="15"/>
        </w:rPr>
        <w:t>prévisualisations abandonnées</w:t>
      </w:r>
      <w:r>
        <w:t>. Les opérations locales possèdent une identité de déduplication et une version de contrat compatibles avec la file de synchronisation.</w:t>
      </w:r>
    </w:p>
    <w:p>
      <w:pPr>
        <w:pStyle w:val="H2"/>
      </w:pPr>
      <w:r>
        <w:t>8.4. Contraintes et erreurs métier</w:t>
      </w:r>
    </w:p>
    <w:p>
      <w:pPr>
        <w:pStyle w:val="Body"/>
      </w:pPr>
      <w:r>
        <w:t xml:space="preserve">Pour une modification de mur, la validation porte notamment sur l’épaisseur et son axe de référence, la hauteur/rattachement vertical, les hôtes et ouvertures, les jonctions, le maintien des identités, les contraintes de pièces et les cotations associées. Un objet dépendant devenu incompatible engendre soit un rejet atomique soit une </w:t>
      </w:r>
      <w:r>
        <w:rPr>
          <w:b/>
          <w:i w:val="0"/>
        </w:rPr>
        <w:t>résolution explicite</w:t>
      </w:r>
      <w:r>
        <w:t xml:space="preserve"> par utilisateur autorisé, jamais une suppression silencieuse.</w:t>
      </w:r>
    </w:p>
    <w:p>
      <w:pPr>
        <w:pStyle w:val="Body"/>
      </w:pPr>
      <w:r>
        <w:rPr>
          <w:b/>
          <w:i w:val="0"/>
        </w:rPr>
        <w:t>AC-003.</w:t>
      </w:r>
      <w:r>
        <w:t xml:space="preserve"> Deux utilisateurs modifiant un mur de manière incompatible obtiennent un conflit traçable, une révision de référence préservée et aucune application implicite du dernier enregistrement. La restauration fonctionne après coupure simulée sans duplication de la commande.</w:t>
      </w:r>
    </w:p>
    <w:p>
      <w:pPr>
        <w:pStyle w:val="H1"/>
        <w:pageBreakBefore w:val="0"/>
        <w:spacing w:before="240"/>
        <w:pBdr>
          <w:bottom w:val="single" w:sz="12" w:space="6" w:color="147D88"/>
        </w:pBdr>
      </w:pPr>
      <w:r>
        <w:t>9. Projection de scène, invalidation et indexation spatiale</w:t>
      </w:r>
    </w:p>
    <w:p>
      <w:pPr>
        <w:pStyle w:val="H2"/>
      </w:pPr>
      <w:r>
        <w:t>9.1. Frontière canonique / représentation</w:t>
      </w:r>
    </w:p>
    <w:p>
      <w:pPr>
        <w:pStyle w:val="Body"/>
      </w:pPr>
      <w:r>
        <w:rPr>
          <w:b/>
          <w:i w:val="0"/>
        </w:rPr>
        <w:t>EX-050 — Projection reconstructible.</w:t>
      </w:r>
      <w:r>
        <w:t xml:space="preserve"> La scène de chaque planche contient uniquement des données dérivées : traces visibles, maillages, positions GPU, styles de sélection, poignées, boîtes englobantes et index. Les identités des objets canoniques sont conservées dans une table de correspondance stable, y compris lorsque plusieurs objets partagent un lot de rendu.</w:t>
      </w:r>
    </w:p>
    <w:p>
      <w:pPr>
        <w:pStyle w:val="Body"/>
      </w:pPr>
      <w:r>
        <w:rPr>
          <w:b/>
          <w:i w:val="0"/>
        </w:rPr>
        <w:t>EX-051 — Projection en état identifié.</w:t>
      </w:r>
      <w:r>
        <w:t xml:space="preserve"> La projection affiche son </w:t>
      </w:r>
      <w:r>
        <w:rPr>
          <w:rFonts w:ascii="Liberation Mono" w:hAnsi="Liberation Mono" w:eastAsia="Liberation Mono" w:cs="Liberation Mono"/>
          <w:b w:val="0"/>
          <w:color w:val="147D88"/>
          <w:sz w:val="15"/>
        </w:rPr>
        <w:t>sourceRevisionId</w:t>
      </w:r>
      <w:r>
        <w:t xml:space="preserve"> et les domaines de données périmées. Une modification de géométrie acceptée invalide les dépendances graphiques correspondantes ; un résultat de worker calculé sur une autre révision ne peut la modifier comme s’il était courant.</w:t>
      </w:r>
    </w:p>
    <w:p>
      <w:pPr>
        <w:pStyle w:val="H2"/>
      </w:pPr>
      <w:r>
        <w:t>9.2. Stratégie d’invalidation</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Événement</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Travail requis</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Recalcul inutile à éviter</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Orbit, pan, zoom</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Mise à jour caméra, repères écran, rendu.</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Recalcul de tous les solides.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Sélection/survol</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Surimpression et informations contextuelles.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Réassemblage des maillages canoniques.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Ligne 2D créée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Mise à jour primitive, index local, cotes dépendantes.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Régénération de toutes les feuilles.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Porte déplacée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Porte, mur hôte et relations/coupes/métrés affectés.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Reconstruction des niveaux non touchés.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Style de présentation</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Lots ou attributs graphiques affectés.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Recalcul des volumes et métrés métier.</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Référence externe changée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Caches dépendants, observations et documents périmés.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Mise à jour silencieuse d’un dossier publié.</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Objet supprimé</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Suppression de géométrie et index + contrôle des liens.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Maintien d’un segment orphelin sélectionnable.</w:t>
            </w:r>
          </w:p>
        </w:tc>
      </w:tr>
    </w:tbl>
    <w:p>
      <w:pPr>
        <w:spacing w:after="40" w:before="0"/>
      </w:pPr>
    </w:p>
    <w:p>
      <w:pPr>
        <w:pStyle w:val="Body"/>
      </w:pPr>
      <w:r>
        <w:t>Les effets d’une commande doivent être traduits en « dirty flags » explicites par couche et par objet ; un repli conservateur vers un recalcul plus large est acceptable si nécessaire pour la correction. Toute stratégie incrémentale est testée contre une reconstruction complète de référence.</w:t>
      </w:r>
    </w:p>
    <w:p>
      <w:pPr>
        <w:pStyle w:val="H2"/>
      </w:pPr>
      <w:r>
        <w:t>9.3. Index de recherche spatiale</w:t>
      </w:r>
    </w:p>
    <w:p>
      <w:pPr>
        <w:pStyle w:val="Body"/>
      </w:pPr>
      <w:r>
        <w:rPr>
          <w:b/>
          <w:i w:val="0"/>
        </w:rPr>
        <w:t>EX-052 — Broad phase.</w:t>
      </w:r>
      <w:r>
        <w:t xml:space="preserve"> Les requêtes de sélection, accrochage et intersection filtrent les candidats par emprise spatiale à l’échelle de la vue avant de lancer les tests précis. Pour une petite scène, le balayage simple reste admissible lorsqu’il est plus efficace et correct.</w:t>
      </w:r>
    </w:p>
    <w:p>
      <w:pPr>
        <w:pStyle w:val="Body"/>
      </w:pPr>
      <w:r>
        <w:rPr>
          <w:b/>
          <w:i w:val="0"/>
        </w:rPr>
        <w:t>EX-053 — Narrow phase.</w:t>
      </w:r>
      <w:r>
        <w:t xml:space="preserve"> Les primitives retenues sont testées avec les règles géométriques de référence : extrémité, milieu, intersection, centre, tangente, perpendiculaire, point proche, ortho, parallèle, priorités et tolérances. Une accélération ne change pas les règles de classement et de départage.</w:t>
      </w:r>
    </w:p>
    <w:p>
      <w:pPr>
        <w:pStyle w:val="Body"/>
      </w:pPr>
      <w:r>
        <w:rPr>
          <w:b/>
          <w:i w:val="0"/>
        </w:rPr>
        <w:t>EX-054 — Maintien.</w:t>
      </w:r>
      <w:r>
        <w:t xml:space="preserve"> L’index est cohérent avec la révision source et les états de calques, références et sélections autorisées. Insert/remove/update ciblés sont privilégiés si prouvés efficaces ; reconstruction en worker possible pour grands changements. La requête temps réel peut rester sur le fil principal si elle respecte les mesures de latence.</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Contexte</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Structure candidate</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À mesurer / vérifier</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Traits et rectangles 2D</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R-tree, quadtree ou partition plane.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Construction, densité locale, insertions, intersections.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Points d’accrochage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Grille spatiale ou ensemble indexé.</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Recherche de voisins, tolérances en pixels.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Meshes et raycasting 3D</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BVH local, hiérarchie de boîtes/instances.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Refit/rebuild après changement, correspondance triangle-objet.</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Bâtiments multi-niveaux</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Partitionnement par niveau/discipline/cellule.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Culling, coût mémoire et mises à jour locales.</w:t>
            </w:r>
          </w:p>
        </w:tc>
      </w:tr>
    </w:tbl>
    <w:p>
      <w:pPr>
        <w:spacing w:after="40" w:before="0"/>
      </w:pPr>
    </w:p>
    <w:p>
      <w:pPr>
        <w:pStyle w:val="Body"/>
      </w:pPr>
      <w:r>
        <w:t>Une BVH n’implique pas automatiquement une occlusion fiable : le filtrage de visibilité derrière les faces relève d’un traitement distinct. Aucun objectif « moins de 1 ms pour 100 000 objets » n’est admis sans profil et mesure.</w:t>
      </w:r>
    </w:p>
    <w:p>
      <w:pPr>
        <w:pStyle w:val="Body"/>
      </w:pPr>
      <w:r>
        <w:rPr>
          <w:b/>
          <w:i w:val="0"/>
        </w:rPr>
        <w:t>AC-004.</w:t>
      </w:r>
      <w:r>
        <w:t xml:space="preserve"> Sur un corpus comportant objets superposés, densités variables, intersections et références liées, l’index accéléré doit fournir les </w:t>
      </w:r>
      <w:r>
        <w:rPr>
          <w:b/>
          <w:i w:val="0"/>
        </w:rPr>
        <w:t>mêmes cibles et points d’accrochage</w:t>
      </w:r>
      <w:r>
        <w:t xml:space="preserve"> (dans la tolérance déclarée) que l’algorithme de référence, avec traces des cas ambigus.</w:t>
      </w:r>
    </w:p>
    <w:p>
      <w:pPr>
        <w:pStyle w:val="H1"/>
        <w:pageBreakBefore w:val="0"/>
        <w:spacing w:before="240"/>
        <w:pBdr>
          <w:bottom w:val="single" w:sz="12" w:space="6" w:color="147D88"/>
        </w:pBdr>
      </w:pPr>
      <w:r>
        <w:t>10. Moteurs de rendu 2D/3D, précision et qualité adaptative</w:t>
      </w:r>
    </w:p>
    <w:p>
      <w:pPr>
        <w:pStyle w:val="H2"/>
      </w:pPr>
      <w:r>
        <w:t>10.1. Pipeline de la Planche 2D</w:t>
      </w:r>
    </w:p>
    <w:p>
      <w:pPr>
        <w:pStyle w:val="Body"/>
      </w:pPr>
      <w:r>
        <w:rPr>
          <w:b/>
          <w:i w:val="0"/>
        </w:rPr>
        <w:t>EX-055 — Fidélité.</w:t>
      </w:r>
      <w:r>
        <w:t xml:space="preserve"> Le renderer 2D reproduit lignes, arcs, splines, cercles, contours, hachures, cotations, légendes, textes, symboles, calques, transparences, sélection et aperçu, avec un comportement identique des coordonnées et accrochages.</w:t>
      </w:r>
    </w:p>
    <w:p>
      <w:pPr>
        <w:pStyle w:val="Body"/>
      </w:pPr>
      <w:r>
        <w:rPr>
          <w:b/>
          <w:i w:val="0"/>
        </w:rPr>
        <w:t>DEC-08 — Technologie ouverte.</w:t>
      </w:r>
      <w:r>
        <w:t xml:space="preserve"> Le rendu initial SVG/React peut être conservé, optimisé ou remplacé après benchmarks par Canvas2D, OffscreenCanvas ou GPU. Il n’existe pas de seuil universel à partir duquel Canvas2D serait inadmissible. Les critères comprennent fidélité vectorielle, consommation CPU/GPU, mémoire, latence, export, accessibilité et qualité d’impression.</w:t>
      </w:r>
    </w:p>
    <w:p>
      <w:pPr>
        <w:pStyle w:val="Body"/>
      </w:pPr>
      <w:r>
        <w:t>Le pipeline peut découpler : fond/grille, objets, annotations, cotes, sélection, pointeur/aperçu et références. Une couche peut être invalidée indépendamment quand cette granularité est démontrée correcte. Les grands tracés peuvent employer regroupement des segments, partitionnement et tuilage conditionnés par la fidélité.</w:t>
      </w:r>
    </w:p>
    <w:p>
      <w:pPr>
        <w:pStyle w:val="H2"/>
      </w:pPr>
      <w:r>
        <w:t>10.2. Pipeline de la Planche 3D</w:t>
      </w:r>
    </w:p>
    <w:p>
      <w:pPr>
        <w:pStyle w:val="Body"/>
      </w:pPr>
      <w:r>
        <w:rPr>
          <w:b/>
          <w:i w:val="0"/>
        </w:rPr>
        <w:t>EX-056 — Réutilisation contrôlée.</w:t>
      </w:r>
      <w:r>
        <w:t xml:space="preserve"> La cible conserve par défaut les capacités fonctionnelles utiles déjà observées (rendu à la demande, batching, WebGL2, WebGPU optionnel, machines de Planche), sous réserve d’audit de conformité. Aucun nouveau moteur 3D n’est présumé nécessaire.</w:t>
      </w:r>
    </w:p>
    <w:p>
      <w:pPr>
        <w:pStyle w:val="Body"/>
      </w:pPr>
      <w:r>
        <w:t>Les mécanismes candidats comprennent :</w:t>
      </w:r>
    </w:p>
    <w:p>
      <w:pPr>
        <w:pStyle w:val="BulletCustom"/>
        <w:ind w:left="369" w:hanging="193"/>
      </w:pPr>
      <w:r>
        <w:rPr>
          <w:rFonts w:ascii="Liberation Sans" w:hAnsi="Liberation Sans" w:eastAsia="Liberation Sans" w:cs="Liberation Sans"/>
          <w:b w:val="0"/>
          <w:color w:val="147D88"/>
          <w:sz w:val="18"/>
        </w:rPr>
        <w:t xml:space="preserve">•  </w:t>
      </w:r>
      <w:r>
        <w:rPr>
          <w:b/>
          <w:i w:val="0"/>
        </w:rPr>
        <w:t>Batching :</w:t>
      </w:r>
      <w:r>
        <w:t xml:space="preserve"> combiner les faces compatibles par lot tout en conservant une table de sélection triangle → identifiant d’objet ; mesurer le coût des réassemblages.</w:t>
      </w:r>
    </w:p>
    <w:p>
      <w:pPr>
        <w:pStyle w:val="BulletCustom"/>
        <w:ind w:left="369" w:hanging="193"/>
      </w:pPr>
      <w:r>
        <w:rPr>
          <w:rFonts w:ascii="Liberation Sans" w:hAnsi="Liberation Sans" w:eastAsia="Liberation Sans" w:cs="Liberation Sans"/>
          <w:b w:val="0"/>
          <w:color w:val="147D88"/>
          <w:sz w:val="18"/>
        </w:rPr>
        <w:t xml:space="preserve">•  </w:t>
      </w:r>
      <w:r>
        <w:rPr>
          <w:b/>
          <w:i w:val="0"/>
        </w:rPr>
        <w:t>Instancing :</w:t>
      </w:r>
      <w:r>
        <w:t xml:space="preserve"> géométries identiques répétées, transformations par instance et traçabilité des occurrences ; éviter l’instanciation universelle des formes uniques.</w:t>
      </w:r>
    </w:p>
    <w:p>
      <w:pPr>
        <w:pStyle w:val="BulletCustom"/>
        <w:ind w:left="369" w:hanging="193"/>
      </w:pPr>
      <w:r>
        <w:rPr>
          <w:rFonts w:ascii="Liberation Sans" w:hAnsi="Liberation Sans" w:eastAsia="Liberation Sans" w:cs="Liberation Sans"/>
          <w:b w:val="0"/>
          <w:color w:val="147D88"/>
          <w:sz w:val="18"/>
        </w:rPr>
        <w:t xml:space="preserve">•  </w:t>
      </w:r>
      <w:r>
        <w:rPr>
          <w:b/>
          <w:i w:val="0"/>
        </w:rPr>
        <w:t>Frustum culling :</w:t>
      </w:r>
      <w:r>
        <w:t xml:space="preserve"> ignorer la géométrie hors du champ ; séparer les besoins de sélection et les éléments cachés selon leur contrat.</w:t>
      </w:r>
    </w:p>
    <w:p>
      <w:pPr>
        <w:pStyle w:val="BulletCustom"/>
        <w:ind w:left="369" w:hanging="193"/>
      </w:pPr>
      <w:r>
        <w:rPr>
          <w:rFonts w:ascii="Liberation Sans" w:hAnsi="Liberation Sans" w:eastAsia="Liberation Sans" w:cs="Liberation Sans"/>
          <w:b w:val="0"/>
          <w:color w:val="147D88"/>
          <w:sz w:val="18"/>
        </w:rPr>
        <w:t xml:space="preserve">•  </w:t>
      </w:r>
      <w:r>
        <w:rPr>
          <w:b/>
          <w:i w:val="0"/>
        </w:rPr>
        <w:t>LOD / partitionnement :</w:t>
      </w:r>
      <w:r>
        <w:t xml:space="preserve"> réduire la complexité graphique des objets lointains sans modifier les coordonnées de référence ni les cotes.</w:t>
      </w:r>
    </w:p>
    <w:p>
      <w:pPr>
        <w:pStyle w:val="BulletCustom"/>
        <w:ind w:left="369" w:hanging="193"/>
      </w:pPr>
      <w:r>
        <w:rPr>
          <w:rFonts w:ascii="Liberation Sans" w:hAnsi="Liberation Sans" w:eastAsia="Liberation Sans" w:cs="Liberation Sans"/>
          <w:b w:val="0"/>
          <w:color w:val="147D88"/>
          <w:sz w:val="18"/>
        </w:rPr>
        <w:t xml:space="preserve">•  </w:t>
      </w:r>
      <w:r>
        <w:rPr>
          <w:b/>
          <w:i w:val="0"/>
        </w:rPr>
        <w:t>Occlusion :</w:t>
      </w:r>
      <w:r>
        <w:t xml:space="preserve"> seulement si le gain dépasse le coût et si l’affichage reste exact en modes filaires/coupes.</w:t>
      </w:r>
    </w:p>
    <w:p>
      <w:pPr>
        <w:pStyle w:val="BulletCustom"/>
        <w:ind w:left="369" w:hanging="193"/>
      </w:pPr>
      <w:r>
        <w:rPr>
          <w:rFonts w:ascii="Liberation Sans" w:hAnsi="Liberation Sans" w:eastAsia="Liberation Sans" w:cs="Liberation Sans"/>
          <w:b w:val="0"/>
          <w:color w:val="147D88"/>
          <w:sz w:val="18"/>
        </w:rPr>
        <w:t xml:space="preserve">•  </w:t>
      </w:r>
      <w:r>
        <w:rPr>
          <w:b/>
          <w:i w:val="0"/>
        </w:rPr>
        <w:t>Dirty flags :</w:t>
      </w:r>
      <w:r>
        <w:t xml:space="preserve"> modifier le plus petit lot correct, avec traitement spécifique des objets hôtes/dépendants.</w:t>
      </w:r>
    </w:p>
    <w:p>
      <w:pPr>
        <w:pStyle w:val="BulletCustom"/>
        <w:ind w:left="369" w:hanging="193"/>
      </w:pPr>
      <w:r>
        <w:rPr>
          <w:rFonts w:ascii="Liberation Sans" w:hAnsi="Liberation Sans" w:eastAsia="Liberation Sans" w:cs="Liberation Sans"/>
          <w:b w:val="0"/>
          <w:color w:val="147D88"/>
          <w:sz w:val="18"/>
        </w:rPr>
        <w:t xml:space="preserve">•  </w:t>
      </w:r>
      <w:r>
        <w:rPr>
          <w:b/>
          <w:i w:val="0"/>
        </w:rPr>
        <w:t>Rendu sur invalidation :</w:t>
      </w:r>
      <w:r>
        <w:t xml:space="preserve"> ne pas tourner en permanence lorsque rien ne change ; rester continu pendant animation ou interaction active.</w:t>
      </w:r>
    </w:p>
    <w:p>
      <w:pPr>
        <w:pStyle w:val="Body"/>
      </w:pPr>
      <w:r>
        <w:rPr>
          <w:b/>
          <w:i w:val="0"/>
        </w:rPr>
        <w:t>DEC-10 — Mises à jour de lots.</w:t>
      </w:r>
      <w:r>
        <w:t xml:space="preserve"> Le cache des maillages par objet ne suffit pas si tous les buffers GPU sont réassemblés à chaque changement de modèle. Comparer reconstruction totale, mise à jour par lot et buffers à segments réservés. Les stratégies sont soumises à l’absence d’objets fantômes et à la fidélité du picking.</w:t>
      </w:r>
    </w:p>
    <w:p>
      <w:pPr>
        <w:pStyle w:val="H2"/>
      </w:pPr>
      <w:r>
        <w:t>10.3. Qualité adaptative et précision</w:t>
      </w:r>
    </w:p>
    <w:p>
      <w:pPr>
        <w:pStyle w:val="Body"/>
      </w:pPr>
      <w:r>
        <w:rPr>
          <w:b/>
          <w:i w:val="0"/>
        </w:rPr>
        <w:t>EX-057 — Dégradation sûre.</w:t>
      </w:r>
      <w:r>
        <w:t xml:space="preserve"> En cas de surcharge, réduire d’abord ombres, effets, anti-crénelage et résolution de présentation. Ne jamais désactiver silencieusement un accrochage indispensable, modifier l’objet enregistré ou assouplir une tolérance géométrique métier pour augmenter le FPS.</w:t>
      </w:r>
    </w:p>
    <w:p>
      <w:pPr>
        <w:pStyle w:val="Body"/>
      </w:pPr>
      <w:r>
        <w:rPr>
          <w:b/>
          <w:i w:val="0"/>
        </w:rPr>
        <w:t>EX-058 — Transparence des previews.</w:t>
      </w:r>
      <w:r>
        <w:t xml:space="preserve"> Un aperçu approximatif (ex. offset ou booléen simplifié) doit rester identifié comme provisoire. La géométrie exacte est calculée et validée avant engagement ; le décalage entre preview et résultat final, s’il dépasse la tolérance, doit être expliqué ou la commande refusée.</w:t>
      </w:r>
    </w:p>
    <w:p>
      <w:pPr>
        <w:pStyle w:val="Body"/>
      </w:pPr>
      <w:r>
        <w:rPr>
          <w:b/>
          <w:i w:val="0"/>
        </w:rPr>
        <w:t>AC-005.</w:t>
      </w:r>
      <w:r>
        <w:t xml:space="preserve"> Les opérations sélection, orbite, zoom, poussé/tiré et changement de matériau passent les tests de fidélité géométrique avant et après toute optimisation. Les profils GPU sont évalués séparément de mesures faites sous SwiftShader.</w:t>
      </w:r>
    </w:p>
    <w:p>
      <w:pPr>
        <w:pStyle w:val="H1"/>
        <w:pageBreakBefore w:val="0"/>
        <w:spacing w:before="240"/>
        <w:pBdr>
          <w:bottom w:val="single" w:sz="12" w:space="6" w:color="147D88"/>
        </w:pBdr>
      </w:pPr>
      <w:r>
        <w:t>11. Workers, WASM, ordonnanceur et résilience</w:t>
      </w:r>
    </w:p>
    <w:p>
      <w:pPr>
        <w:pStyle w:val="H2"/>
      </w:pPr>
      <w:r>
        <w:t>11.1. Principes d’ordonnancement</w:t>
      </w:r>
    </w:p>
    <w:p>
      <w:pPr>
        <w:pStyle w:val="Body"/>
      </w:pPr>
      <w:r>
        <w:rPr>
          <w:b/>
          <w:i w:val="0"/>
        </w:rPr>
        <w:t>EX-059 — Isolation du calcul lourd.</w:t>
      </w:r>
      <w:r>
        <w:t xml:space="preserve"> Le fil principal assure événements, retours immédiats et rendu. Les opérations susceptibles de bloquer durablement l’interaction (géométrie exacte, reconstruction d’index volumineux, tessellation massive, export) sont candidates à un worker ou au serveur, à choisir sur mesure.</w:t>
      </w:r>
    </w:p>
    <w:p>
      <w:pPr>
        <w:pStyle w:val="Body"/>
      </w:pPr>
      <w:r>
        <w:rPr>
          <w:b/>
          <w:i w:val="0"/>
        </w:rPr>
        <w:t>EX-060 — Ordonnanceur commun.</w:t>
      </w:r>
      <w:r>
        <w:t xml:space="preserve"> Chaque tâche possède </w:t>
      </w:r>
      <w:r>
        <w:rPr>
          <w:rFonts w:ascii="Liberation Mono" w:hAnsi="Liberation Mono" w:eastAsia="Liberation Mono" w:cs="Liberation Mono"/>
          <w:b w:val="0"/>
          <w:color w:val="147D88"/>
          <w:sz w:val="15"/>
        </w:rPr>
        <w:t>jobId</w:t>
      </w:r>
      <w:r>
        <w:t>, domaine, priorité, révision source, empreinte d’entrée, limite de concurrence, état, stratégie d’annulation, journal d’erreur et pointeur de résultat. L’ordonnanceur ne doit pas supposer qu’un worker par cœur logique est optimal.</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Classe de tâche</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Exécution candidate</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Exigence spéciale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Pointeur/snapping simple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Synchrone local si borné.</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Préserver ordre et cohérence des gestes.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Index volumineux</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Worker.</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Versionner l’index avant publication en scène.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Tessellation</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Worker.</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Transferables si mesurés utiles ; réception sur bonne révision.</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OCCT/WASM</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Worker spécialisé persistant chargé au besoin.</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Mémoire limitée ; échec et remise en service contrôlés.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Manifold lourds</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Worker si nécessaire.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Même invariants géométriques et calcul référence.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Documents et quantités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Worker ou serveur selon taille et droits.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Résultat versionné ; aucun export orphelin.</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Transaction centrale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API/DB autoritaire Fadi.</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Validation serveur obligatoire.</w:t>
            </w:r>
          </w:p>
        </w:tc>
      </w:tr>
    </w:tbl>
    <w:p>
      <w:pPr>
        <w:spacing w:after="40" w:before="0"/>
      </w:pPr>
    </w:p>
    <w:p>
      <w:pPr>
        <w:pStyle w:val="H2"/>
      </w:pPr>
      <w:r>
        <w:t>11.2. État des jobs et concurrence</w:t>
      </w:r>
    </w:p>
    <w:p>
      <w:pPr>
        <w:pStyle w:val="Body"/>
      </w:pPr>
      <w:r>
        <w:rPr>
          <w:b/>
          <w:i w:val="0"/>
        </w:rPr>
        <w:t>IF-007 — Statuts des jobs.</w:t>
      </w:r>
      <w:r>
        <w:t xml:space="preserve"> </w:t>
      </w:r>
      <w:r>
        <w:rPr>
          <w:rFonts w:ascii="Liberation Mono" w:hAnsi="Liberation Mono" w:eastAsia="Liberation Mono" w:cs="Liberation Mono"/>
          <w:b w:val="0"/>
          <w:color w:val="147D88"/>
          <w:sz w:val="15"/>
        </w:rPr>
        <w:t>queued → loading → running → completed</w:t>
      </w:r>
      <w:r>
        <w:t xml:space="preserve">, avec branches </w:t>
      </w:r>
      <w:r>
        <w:rPr>
          <w:rFonts w:ascii="Liberation Mono" w:hAnsi="Liberation Mono" w:eastAsia="Liberation Mono" w:cs="Liberation Mono"/>
          <w:b w:val="0"/>
          <w:color w:val="147D88"/>
          <w:sz w:val="15"/>
        </w:rPr>
        <w:t>cancel_requested</w:t>
      </w:r>
      <w:r>
        <w:t xml:space="preserve">, </w:t>
      </w:r>
      <w:r>
        <w:rPr>
          <w:rFonts w:ascii="Liberation Mono" w:hAnsi="Liberation Mono" w:eastAsia="Liberation Mono" w:cs="Liberation Mono"/>
          <w:b w:val="0"/>
          <w:color w:val="147D88"/>
          <w:sz w:val="15"/>
        </w:rPr>
        <w:t>cancelled</w:t>
      </w:r>
      <w:r>
        <w:t xml:space="preserve">, </w:t>
      </w:r>
      <w:r>
        <w:rPr>
          <w:rFonts w:ascii="Liberation Mono" w:hAnsi="Liberation Mono" w:eastAsia="Liberation Mono" w:cs="Liberation Mono"/>
          <w:b w:val="0"/>
          <w:color w:val="147D88"/>
          <w:sz w:val="15"/>
        </w:rPr>
        <w:t>failed</w:t>
      </w:r>
      <w:r>
        <w:t xml:space="preserve">, </w:t>
      </w:r>
      <w:r>
        <w:rPr>
          <w:rFonts w:ascii="Liberation Mono" w:hAnsi="Liberation Mono" w:eastAsia="Liberation Mono" w:cs="Liberation Mono"/>
          <w:b w:val="0"/>
          <w:color w:val="147D88"/>
          <w:sz w:val="15"/>
        </w:rPr>
        <w:t>superseded</w:t>
      </w:r>
      <w:r>
        <w:t xml:space="preserve">, </w:t>
      </w:r>
      <w:r>
        <w:rPr>
          <w:rFonts w:ascii="Liberation Mono" w:hAnsi="Liberation Mono" w:eastAsia="Liberation Mono" w:cs="Liberation Mono"/>
          <w:b w:val="0"/>
          <w:color w:val="147D88"/>
          <w:sz w:val="15"/>
        </w:rPr>
        <w:t>timed_out</w:t>
      </w:r>
      <w:r>
        <w:t>. Une demande d’annulation n’équivaut pas immédiatement à un arrêt matériel ; le résultat d’une tâche finalement terminée après annulation ne peut être engagé sans nouvelle vérification.</w:t>
      </w:r>
    </w:p>
    <w:p>
      <w:pPr>
        <w:pStyle w:val="Body"/>
      </w:pPr>
      <w:r>
        <w:rPr>
          <w:b/>
          <w:i w:val="0"/>
        </w:rPr>
        <w:t>EX-061 — Échec worker.</w:t>
      </w:r>
      <w:r>
        <w:t xml:space="preserve"> L’échec rejette les tâches affectées, libère le worker défaillant, préserve le modèle et propose la relance sous contrôle. Un mécanisme de recréation du worker spécialisé doit être spécifié et testé ; les requêtes </w:t>
      </w:r>
      <w:r>
        <w:rPr>
          <w:rFonts w:ascii="Liberation Mono" w:hAnsi="Liberation Mono" w:eastAsia="Liberation Mono" w:cs="Liberation Mono"/>
          <w:b w:val="0"/>
          <w:color w:val="147D88"/>
          <w:sz w:val="15"/>
        </w:rPr>
        <w:t>pending</w:t>
      </w:r>
      <w:r>
        <w:t xml:space="preserve"> ne restent pas bloquées indéfiniment.</w:t>
      </w:r>
    </w:p>
    <w:p>
      <w:pPr>
        <w:pStyle w:val="Body"/>
      </w:pPr>
      <w:r>
        <w:rPr>
          <w:b/>
          <w:i w:val="0"/>
        </w:rPr>
        <w:t>EX-062 — Mémoire WASM.</w:t>
      </w:r>
      <w:r>
        <w:t xml:space="preserve"> Suivre taille compressée transférée, instance compilée, allocations WASM et mémoire résidente après traitement ; conserver un noyau chargé tant que le coût de maintien est justifié. L’initialisation simultanée de plusieurs OCCT requiert une preuve de gain et de mémoire acceptable.</w:t>
      </w:r>
    </w:p>
    <w:p>
      <w:pPr>
        <w:pStyle w:val="Body"/>
      </w:pPr>
      <w:r>
        <w:rPr>
          <w:b/>
          <w:i w:val="0"/>
        </w:rPr>
        <w:t>EX-063 — Transfert d’objets.</w:t>
      </w:r>
      <w:r>
        <w:t xml:space="preserve"> Les grands tableaux typés peuvent être transférés sans copie seulement lorsque le protocole établit la propriété du tampon et sa durée de vie. Les messages applicatifs restent validés même s’ils proviennent d’un worker « interne ».</w:t>
      </w:r>
    </w:p>
    <w:p>
      <w:pPr>
        <w:pStyle w:val="H2"/>
      </w:pPr>
      <w:r>
        <w:t>11.3. Règles de priorité</w:t>
      </w:r>
    </w:p>
    <w:p>
      <w:pPr>
        <w:pStyle w:val="Body"/>
      </w:pPr>
      <w:r>
        <w:t>L’interaction immédiate prime sur les aperçus lourds ; un job ancien lié à une révision dépassée peut être interrompu ou classé obsolète. Une exportation approuvée ne doit pas être annulée tacitement par un survol de pointeur. Prévoir équité entre tâches, limites de mémoire, quotas par étude et messages de progression lorsque la fonction peut en produire.</w:t>
      </w:r>
    </w:p>
    <w:p>
      <w:pPr>
        <w:pStyle w:val="Body"/>
      </w:pPr>
      <w:r>
        <w:rPr>
          <w:b/>
          <w:i w:val="0"/>
        </w:rPr>
        <w:t>AC-006.</w:t>
      </w:r>
      <w:r>
        <w:t xml:space="preserve"> Échec forcé d’OCCT/WASM pendant une opération : aucune mutation partielle, retour d’erreur intelligible, tâches en attente résolues explicitement, possibilité de relance sans doublons et sans perte de la révision courante.</w:t>
      </w:r>
    </w:p>
    <w:p>
      <w:pPr>
        <w:pStyle w:val="H1"/>
        <w:pageBreakBefore w:val="0"/>
        <w:spacing w:before="240"/>
        <w:pBdr>
          <w:bottom w:val="single" w:sz="12" w:space="6" w:color="147D88"/>
        </w:pBdr>
      </w:pPr>
      <w:r>
        <w:t>12. BIM, coordination, exigences et contrôles</w:t>
      </w:r>
    </w:p>
    <w:p>
      <w:pPr>
        <w:pStyle w:val="H2"/>
      </w:pPr>
      <w:r>
        <w:t>12.1. Sémantique architecturale</w:t>
      </w:r>
    </w:p>
    <w:p>
      <w:pPr>
        <w:pStyle w:val="Body"/>
      </w:pPr>
      <w:r>
        <w:rPr>
          <w:b/>
          <w:i w:val="0"/>
        </w:rPr>
        <w:t>EX-064 — Identité BIM.</w:t>
      </w:r>
      <w:r>
        <w:t xml:space="preserve"> Un objet architectural possède type, paramètres, niveau, hôtes, relations, propriétés et provenance. Les </w:t>
      </w:r>
      <w:r>
        <w:rPr>
          <w:b/>
          <w:i w:val="0"/>
        </w:rPr>
        <w:t>paramètres de conception</w:t>
      </w:r>
      <w:r>
        <w:t xml:space="preserve"> (épaisseur, implantation), les </w:t>
      </w:r>
      <w:r>
        <w:rPr>
          <w:b/>
          <w:i w:val="0"/>
        </w:rPr>
        <w:t>propriétés techniques</w:t>
      </w:r>
      <w:r>
        <w:t xml:space="preserve"> (composition, performances) et les </w:t>
      </w:r>
      <w:r>
        <w:rPr>
          <w:b/>
          <w:i w:val="0"/>
        </w:rPr>
        <w:t>styles de représentation</w:t>
      </w:r>
      <w:r>
        <w:t xml:space="preserve"> (couleur, texture) sont trois catégories indépendantes.</w:t>
      </w:r>
    </w:p>
    <w:p>
      <w:pPr>
        <w:pStyle w:val="Body"/>
      </w:pPr>
      <w:r>
        <w:rPr>
          <w:b/>
          <w:i w:val="0"/>
        </w:rPr>
        <w:t>EX-065 — Exigence vs mesure.</w:t>
      </w:r>
      <w:r>
        <w:t xml:space="preserve"> Une exigence versionnée (ex. surface programmée de 28 m²) ne change pas lorsque la surface modélisée devient 26 m² ; l’interface présente explicitement l’écart. La modification d’exigence passe par sa propre commande, avec permission et provenance.</w:t>
      </w:r>
    </w:p>
    <w:p>
      <w:pPr>
        <w:pStyle w:val="H2"/>
      </w:pPr>
      <w:r>
        <w:t>12.2. Références et fédération</w:t>
      </w:r>
    </w:p>
    <w:p>
      <w:pPr>
        <w:pStyle w:val="Body"/>
      </w:pPr>
      <w:r>
        <w:rPr>
          <w:b/>
          <w:i w:val="0"/>
        </w:rPr>
        <w:t>EX-066 — Sources partenaires.</w:t>
      </w:r>
      <w:r>
        <w:t xml:space="preserve"> Chaque modèle externe conserve auteur, discipline, format, version, unité, transformation et état d’acceptation. Le remplacement d’une référence suit </w:t>
      </w:r>
      <w:r>
        <w:rPr>
          <w:rFonts w:ascii="Liberation Mono" w:hAnsi="Liberation Mono" w:eastAsia="Liberation Mono" w:cs="Liberation Mono"/>
          <w:b w:val="0"/>
          <w:color w:val="147D88"/>
          <w:sz w:val="15"/>
        </w:rPr>
        <w:t>réception → vérification → comparaison → acceptation/rejet</w:t>
      </w:r>
      <w:r>
        <w:t>, et n’efface pas la référence d’une publication passée.</w:t>
      </w:r>
    </w:p>
    <w:p>
      <w:pPr>
        <w:pStyle w:val="Body"/>
      </w:pPr>
      <w:r>
        <w:rPr>
          <w:b/>
          <w:i w:val="0"/>
        </w:rPr>
        <w:t>EX-067 — Éditabilité explicite.</w:t>
      </w:r>
      <w:r>
        <w:t xml:space="preserve"> Un modèle consulté, fédéré ou utilisé comme référence n’est pas déclaré natif et paramétrique sans conversion validée. Les éléments ignorés, simplifiés ou non convertibles sont signalés.</w:t>
      </w:r>
    </w:p>
    <w:p>
      <w:pPr>
        <w:pStyle w:val="H2"/>
      </w:pPr>
      <w:r>
        <w:t>12.3. Moteur de règles et conclusions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Dimension de contrôle</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Question</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Traçabilité minimale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Géométrie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Solide fermé, absence de géométrie invalide, références stables ?</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Révision, objet, règle, tolérance.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Information BIM</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Type, unité, identifiant, propriété requise présents ?</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Version de règle et source.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Coordination</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Incompatibilité entre disciplines / réseaux / structure ?</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Modèles, versions, positionnement, exceptions.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Cohérence de conception</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Résultat conforme à une exigence et à ses hypothèses ?</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Exigence versionnée, valeur mesurée, calcul.</w:t>
            </w:r>
          </w:p>
        </w:tc>
      </w:tr>
    </w:tbl>
    <w:p>
      <w:pPr>
        <w:spacing w:after="40" w:before="0"/>
      </w:pPr>
    </w:p>
    <w:p>
      <w:pPr>
        <w:pStyle w:val="Body"/>
      </w:pPr>
      <w:r>
        <w:rPr>
          <w:b/>
          <w:i w:val="0"/>
        </w:rPr>
        <w:t>EX-068 — Conclusion normative.</w:t>
      </w:r>
      <w:r>
        <w:t xml:space="preserve"> Les valeurs de contrôle sont </w:t>
      </w:r>
      <w:r>
        <w:rPr>
          <w:rFonts w:ascii="Liberation Mono" w:hAnsi="Liberation Mono" w:eastAsia="Liberation Mono" w:cs="Liberation Mono"/>
          <w:b w:val="0"/>
          <w:color w:val="147D88"/>
          <w:sz w:val="15"/>
        </w:rPr>
        <w:t>conforme</w:t>
      </w:r>
      <w:r>
        <w:t xml:space="preserve">, </w:t>
      </w:r>
      <w:r>
        <w:rPr>
          <w:rFonts w:ascii="Liberation Mono" w:hAnsi="Liberation Mono" w:eastAsia="Liberation Mono" w:cs="Liberation Mono"/>
          <w:b w:val="0"/>
          <w:color w:val="147D88"/>
          <w:sz w:val="15"/>
        </w:rPr>
        <w:t>non conforme</w:t>
      </w:r>
      <w:r>
        <w:t xml:space="preserve">, </w:t>
      </w:r>
      <w:r>
        <w:rPr>
          <w:rFonts w:ascii="Liberation Mono" w:hAnsi="Liberation Mono" w:eastAsia="Liberation Mono" w:cs="Liberation Mono"/>
          <w:b w:val="0"/>
          <w:color w:val="147D88"/>
          <w:sz w:val="15"/>
        </w:rPr>
        <w:t>non testé</w:t>
      </w:r>
      <w:r>
        <w:t xml:space="preserve">, </w:t>
      </w:r>
      <w:r>
        <w:rPr>
          <w:rFonts w:ascii="Liberation Mono" w:hAnsi="Liberation Mono" w:eastAsia="Liberation Mono" w:cs="Liberation Mono"/>
          <w:b w:val="0"/>
          <w:color w:val="147D88"/>
          <w:sz w:val="15"/>
        </w:rPr>
        <w:t>non applicable justifié</w:t>
      </w:r>
      <w:r>
        <w:t>. Le statut d’exécution (</w:t>
      </w:r>
      <w:r>
        <w:rPr>
          <w:rFonts w:ascii="Liberation Mono" w:hAnsi="Liberation Mono" w:eastAsia="Liberation Mono" w:cs="Liberation Mono"/>
          <w:b w:val="0"/>
          <w:color w:val="147D88"/>
          <w:sz w:val="15"/>
        </w:rPr>
        <w:t>en attente</w:t>
      </w:r>
      <w:r>
        <w:t xml:space="preserve">, </w:t>
      </w:r>
      <w:r>
        <w:rPr>
          <w:rFonts w:ascii="Liberation Mono" w:hAnsi="Liberation Mono" w:eastAsia="Liberation Mono" w:cs="Liberation Mono"/>
          <w:b w:val="0"/>
          <w:color w:val="147D88"/>
          <w:sz w:val="15"/>
        </w:rPr>
        <w:t>échec technique</w:t>
      </w:r>
      <w:r>
        <w:t xml:space="preserve">) ne doit jamais être interprété comme </w:t>
      </w:r>
      <w:r>
        <w:rPr>
          <w:rFonts w:ascii="Liberation Mono" w:hAnsi="Liberation Mono" w:eastAsia="Liberation Mono" w:cs="Liberation Mono"/>
          <w:b w:val="0"/>
          <w:color w:val="147D88"/>
          <w:sz w:val="15"/>
        </w:rPr>
        <w:t>conforme</w:t>
      </w:r>
      <w:r>
        <w:t>.</w:t>
      </w:r>
    </w:p>
    <w:p>
      <w:pPr>
        <w:pStyle w:val="Body"/>
      </w:pPr>
      <w:r>
        <w:rPr>
          <w:b/>
          <w:i w:val="0"/>
        </w:rPr>
        <w:t>EX-069 — Observation unique.</w:t>
      </w:r>
      <w:r>
        <w:t xml:space="preserve"> Une anomalie issue d’un contrôle possède un </w:t>
      </w:r>
      <w:r>
        <w:rPr>
          <w:rFonts w:ascii="Liberation Mono" w:hAnsi="Liberation Mono" w:eastAsia="Liberation Mono" w:cs="Liberation Mono"/>
          <w:b w:val="0"/>
          <w:color w:val="147D88"/>
          <w:sz w:val="15"/>
        </w:rPr>
        <w:t>issueId</w:t>
      </w:r>
      <w:r>
        <w:t xml:space="preserve"> réutilisé par le suivi documentaire. Le réexamen d’une même anomalie sur une nouvelle révision rapproche les observations existantes selon une règle explicite, pas par création systématique de doublons.</w:t>
      </w:r>
    </w:p>
    <w:p>
      <w:pPr>
        <w:pStyle w:val="Body"/>
      </w:pPr>
      <w:r>
        <w:rPr>
          <w:b/>
          <w:i w:val="0"/>
        </w:rPr>
        <w:t>EX-070 — Clôture.</w:t>
      </w:r>
      <w:r>
        <w:t xml:space="preserve"> La déclaration de correction par un concepteur ne clôt pas à elle seule une observation. Un recontrôle par le rôle autorisé produit une conclusion liée à une nouvelle révision. La suppression de l’objet problématique ne prouve pas à elle seule la résolution.</w:t>
      </w:r>
    </w:p>
    <w:p>
      <w:pPr>
        <w:pStyle w:val="H1"/>
        <w:pageBreakBefore w:val="0"/>
        <w:spacing w:before="240"/>
        <w:pBdr>
          <w:bottom w:val="single" w:sz="12" w:space="6" w:color="147D88"/>
        </w:pBdr>
      </w:pPr>
      <w:r>
        <w:t>13. Visualisation, rendu, immersion et IA</w:t>
      </w:r>
    </w:p>
    <w:p>
      <w:pPr>
        <w:pStyle w:val="H2"/>
      </w:pPr>
      <w:r>
        <w:t>13.1. Séparation des trois modes</w:t>
      </w:r>
    </w:p>
    <w:tbl>
      <w:tblPr>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601"/>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Mode</w:t>
            </w:r>
          </w:p>
        </w:tc>
        <w:tc>
          <w:tcPr>
            <w:tcW w:type="dxa" w:w="24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Entrée principale</w:t>
            </w:r>
          </w:p>
        </w:tc>
        <w:tc>
          <w:tcPr>
            <w:tcW w:type="dxa" w:w="3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Nature du résultat</w:t>
            </w:r>
          </w:p>
        </w:tc>
        <w:tc>
          <w:tcPr>
            <w:tcW w:type="dxa" w:w="25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Effet autorisé</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Rendu issu du modèle</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Modèle et scène sur révision identifiée.</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Média de présentation référencé au modèle.</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Aucune mutation implicite de géométrie.</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Illustration IA contrainte</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Images, vues ou paramètres de référence.</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Illustration à vérifier par comparaison.</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Proposition visuelle, pas métrés.</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Exploration IA libre</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Brief créatif, styles et inspirations.</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Exploration sans fidélité géométrique garantie.</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Intention pouvant être traduite par décision explicite.</w:t>
            </w:r>
          </w:p>
        </w:tc>
      </w:tr>
    </w:tbl>
    <w:p>
      <w:pPr>
        <w:spacing w:after="40" w:before="0"/>
      </w:pPr>
    </w:p>
    <w:p>
      <w:pPr>
        <w:pStyle w:val="Body"/>
      </w:pPr>
      <w:r>
        <w:rPr>
          <w:b/>
          <w:i w:val="0"/>
        </w:rPr>
        <w:t>EX-071 — Provenance des médias.</w:t>
      </w:r>
      <w:r>
        <w:t xml:space="preserve"> Les rendus conservent modèle/variante/révision source, caméra, paramètres, auteur, date et empreintes si disponibles. Les traitements IA ajoutent service/fournisseur, version si connue, sources envoyées, restrictions de droits, consentement ou autorisation de transfert lorsque requis, coûts/quotas et résultat.</w:t>
      </w:r>
    </w:p>
    <w:p>
      <w:pPr>
        <w:pStyle w:val="Body"/>
      </w:pPr>
      <w:r>
        <w:rPr>
          <w:b/>
          <w:i w:val="0"/>
        </w:rPr>
        <w:t>EX-072 — Reproductibilité honnête.</w:t>
      </w:r>
      <w:r>
        <w:t xml:space="preserve"> Conserver les paramètres et une image historique ne garantit pas la reproduction identique d’une génération IA. Les inconnues du fournisseur sont signalées comme telles.</w:t>
      </w:r>
    </w:p>
    <w:p>
      <w:pPr>
        <w:pStyle w:val="Body"/>
      </w:pPr>
      <w:r>
        <w:rPr>
          <w:b/>
          <w:i w:val="0"/>
        </w:rPr>
        <w:t>EX-073 — Séparation visuel/technique.</w:t>
      </w:r>
      <w:r>
        <w:t xml:space="preserve"> Les quantités, performances et règles métier se calculent sur les objets et données de référence, jamais sur les pixels d’une illustration. Un matériau apparent ne change pas automatiquement la composition constructive.</w:t>
      </w:r>
    </w:p>
    <w:p>
      <w:pPr>
        <w:pStyle w:val="H2"/>
      </w:pPr>
      <w:r>
        <w:t>13.2. Gouvernance externe</w:t>
      </w:r>
    </w:p>
    <w:p>
      <w:pPr>
        <w:pStyle w:val="Body"/>
      </w:pPr>
      <w:r>
        <w:t xml:space="preserve">Avant appel externe, contrôler la confidentialité des modèles, le droit de transmettre la donnée, la durée de conservation, l’identité du prestataire, ses restrictions de traitement et un budget de coût ou quota. Une intégration non encore évaluée reste </w:t>
      </w:r>
      <w:r>
        <w:rPr>
          <w:rFonts w:ascii="Liberation Mono" w:hAnsi="Liberation Mono" w:eastAsia="Liberation Mono" w:cs="Liberation Mono"/>
          <w:b w:val="0"/>
          <w:color w:val="147D88"/>
          <w:sz w:val="15"/>
        </w:rPr>
        <w:t>non disponible</w:t>
      </w:r>
      <w:r>
        <w:t xml:space="preserve"> ; le référentiel n’attribue pas une fonctionnalité IA à Fadi sans preuve.</w:t>
      </w:r>
    </w:p>
    <w:p>
      <w:pPr>
        <w:pStyle w:val="Body"/>
      </w:pPr>
      <w:r>
        <w:rPr>
          <w:b/>
          <w:i w:val="0"/>
        </w:rPr>
        <w:t>AC-007.</w:t>
      </w:r>
      <w:r>
        <w:t xml:space="preserve"> Générer une illustration ne change ni les dimensions, ni les propriétés BIM, ni la révision du modèle source. La publication d’une illustration indique son statut de vérification et sa source.</w:t>
      </w:r>
    </w:p>
    <w:p>
      <w:pPr>
        <w:pStyle w:val="H1"/>
        <w:pageBreakBefore w:val="0"/>
        <w:spacing w:before="240"/>
        <w:pBdr>
          <w:bottom w:val="single" w:sz="12" w:space="6" w:color="147D88"/>
        </w:pBdr>
      </w:pPr>
      <w:r>
        <w:t>14. Documentation, métrés, interopérabilité et publication</w:t>
      </w:r>
    </w:p>
    <w:p>
      <w:pPr>
        <w:pStyle w:val="H2"/>
      </w:pPr>
      <w:r>
        <w:t>14.1. Chaîne de production documentaire</w:t>
      </w:r>
    </w:p>
    <w:p>
      <w:pPr>
        <w:pStyle w:val="Body"/>
      </w:pPr>
      <w:r>
        <w:rPr>
          <w:b/>
          <w:i w:val="0"/>
        </w:rPr>
        <w:t>EX-074 — Chaîne documentaire.</w:t>
      </w:r>
      <w:r>
        <w:t xml:space="preserve"> </w:t>
      </w:r>
      <w:r>
        <w:rPr>
          <w:rFonts w:ascii="Liberation Mono" w:hAnsi="Liberation Mono" w:eastAsia="Liberation Mono" w:cs="Liberation Mono"/>
          <w:b w:val="0"/>
          <w:color w:val="147D88"/>
          <w:sz w:val="15"/>
        </w:rPr>
        <w:t>Vue → Feuille → Dossier → Publication</w:t>
      </w:r>
      <w:r>
        <w:t xml:space="preserve"> constitue le cycle des livrables. Une Planche est un environnement de travail ; une feuille est un assemblage de représentations et annotations à une échelle et un format déclarés.</w:t>
      </w:r>
    </w:p>
    <w:p>
      <w:pPr>
        <w:pStyle w:val="Body"/>
      </w:pPr>
      <w:r>
        <w:rPr>
          <w:b/>
          <w:i w:val="0"/>
        </w:rPr>
        <w:t>EX-075 — Sources des vues.</w:t>
      </w:r>
      <w:r>
        <w:t xml:space="preserve"> Chaque vue conserve les révisions sources, niveau/repère, cadrage, échelle de présentation, visibilité, styles et annotations propres. Une vue dérivée du 3D peut devenir périmée après modification du modèle ; ses annotations propres ne deviennent pas des paramètres de l’objet source.</w:t>
      </w:r>
    </w:p>
    <w:p>
      <w:pPr>
        <w:pStyle w:val="Body"/>
      </w:pPr>
      <w:r>
        <w:rPr>
          <w:b/>
          <w:i w:val="0"/>
        </w:rPr>
        <w:t>EX-076 — Documents indépendants.</w:t>
      </w:r>
      <w:r>
        <w:t xml:space="preserve"> Un dessin de détail créé directement en 2D peut être publié conjointement avec des documents dérivés d’une maquette sans être présenté comme un extrait automatiquement synchronisé.</w:t>
      </w:r>
    </w:p>
    <w:p>
      <w:pPr>
        <w:pStyle w:val="H2"/>
      </w:pPr>
      <w:r>
        <w:t>14.2. Métrés, quantités et nomenclatures</w:t>
      </w:r>
    </w:p>
    <w:p>
      <w:pPr>
        <w:pStyle w:val="Body"/>
      </w:pPr>
      <w:r>
        <w:rPr>
          <w:b/>
          <w:i w:val="0"/>
        </w:rPr>
        <w:t>EX-077 — Traçabilité des calculs.</w:t>
      </w:r>
      <w:r>
        <w:t xml:space="preserve"> Chaque quantité comprend identifiant du jeu de sources, révision, règle et sa version, unité, objets inclus, exclusions, déductions, précision interne, arrondi de présentation et date. Un override manuel constitue une donnée distincte motivée, jamais le remplacement silencieux d’un calcul.</w:t>
      </w:r>
    </w:p>
    <w:p>
      <w:pPr>
        <w:pStyle w:val="Body"/>
      </w:pPr>
      <w:r>
        <w:rPr>
          <w:b/>
          <w:i w:val="0"/>
        </w:rPr>
        <w:t>EX-078 — Cohérence des totaux.</w:t>
      </w:r>
      <w:r>
        <w:t xml:space="preserve"> Une somme ne mélange pas sans signalement des quantités de règles incompatibles, d’unités différentes ou de révisions hétérogènes. Les totaux distinguent brut, net, déductions, quantités non testées et corrections manuelles.</w:t>
      </w:r>
    </w:p>
    <w:p>
      <w:pPr>
        <w:pStyle w:val="Body"/>
      </w:pPr>
      <w:r>
        <w:rPr>
          <w:b/>
          <w:i w:val="0"/>
        </w:rPr>
        <w:t>IF-008 — Résultat quantitatif.</w:t>
      </w:r>
      <w:r>
        <w:t xml:space="preserve"> </w:t>
      </w:r>
      <w:r>
        <w:rPr>
          <w:rFonts w:ascii="Liberation Mono" w:hAnsi="Liberation Mono" w:eastAsia="Liberation Mono" w:cs="Liberation Mono"/>
          <w:b w:val="0"/>
          <w:color w:val="147D88"/>
          <w:sz w:val="15"/>
        </w:rPr>
        <w:t>quantityId + sourceRevisionSet + ruleId + ruleVersion + sourceObjectIds + unit + rawValue + deductions + displayValue + freshnessStatus</w:t>
      </w:r>
      <w:r>
        <w:t xml:space="preserve"> ; </w:t>
      </w:r>
      <w:r>
        <w:rPr>
          <w:rFonts w:ascii="Liberation Mono" w:hAnsi="Liberation Mono" w:eastAsia="Liberation Mono" w:cs="Liberation Mono"/>
          <w:b w:val="0"/>
          <w:color w:val="147D88"/>
          <w:sz w:val="15"/>
        </w:rPr>
        <w:t>manualAdjustment</w:t>
      </w:r>
      <w:r>
        <w:t xml:space="preserve"> est facultatif, distinct, motivé et attribué. La décision de structure physique reste ouverte.</w:t>
      </w:r>
    </w:p>
    <w:p>
      <w:pPr>
        <w:pStyle w:val="Body"/>
      </w:pPr>
      <w:r>
        <w:rPr>
          <w:b/>
          <w:i w:val="0"/>
        </w:rPr>
        <w:t>AC-008.</w:t>
      </w:r>
      <w:r>
        <w:t xml:space="preserve"> Dans le test de référence du mur, les objets et révisions permettent de retrouver exactement les déductions 0,420 m³ puis 0,504 m³ et les volumes nets 3,180 m³ puis 3,096 m³. Les résultats historiques conservent leur source initiale.</w:t>
      </w:r>
    </w:p>
    <w:p>
      <w:pPr>
        <w:pStyle w:val="H2"/>
      </w:pPr>
      <w:r>
        <w:t>14.3. Contrat d’interopérabilité par format</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Format</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Opérations cibles à spécifier</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Contrôles et limites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Natif Studio</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Enregistrer, versionner, réouvrir, migrer.</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Version de schéma, identités, topologie, historique, conflits.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PDF / SVG</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Générer vues, feuilles et documents.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Échelles, polices, vectoriel/raster, contenu manquant et conservation.</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DXF</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Import/export du sous-ensemble explicitement accepté.</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 xml:space="preserve">Unitless, </w:t>
            </w:r>
            <w:r>
              <w:rPr>
                <w:rFonts w:ascii="Liberation Sans" w:hAnsi="Liberation Sans" w:eastAsia="Liberation Sans" w:cs="Liberation Sans"/>
                <w:b w:val="0"/>
                <w:color w:val="263442"/>
                <w:sz w:val="15"/>
              </w:rPr>
              <w:t>INSUNITS</w:t>
            </w:r>
            <w:r>
              <w:rPr>
                <w:rFonts w:ascii="Liberation Sans" w:hAnsi="Liberation Sans" w:eastAsia="Liberation Sans" w:cs="Liberation Sans"/>
                <w:color w:val="263442"/>
                <w:sz w:val="15"/>
              </w:rPr>
              <w:t>, calques, blocs, courbes, textes, hachures et attributs.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DWG</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Échange seulement après choix d’une solution validée.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Licence, fidélité, versions, pertes et limites légales.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IFC</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Références, fédération et export sémantique selon couverture déclarée.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Version/schéma, classes, propriétés, relations, placements et conversion éditable.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BCF</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Échange d’observations contextualisées.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Identifiants, statuts, vues, versions, correspondance des objets.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STEP / OBJ / STL</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Géométrie selon outils retenus et formats supportés.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Topologie, unités, précision, maillage vs solide et pertes sémantiques.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CSV / tableaux</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Métrés et nomenclatures.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Méthode, unités, identifiants sources et arrondis.</w:t>
            </w:r>
          </w:p>
        </w:tc>
      </w:tr>
    </w:tbl>
    <w:p>
      <w:pPr>
        <w:spacing w:after="40" w:before="0"/>
      </w:pPr>
    </w:p>
    <w:p>
      <w:pPr>
        <w:pStyle w:val="Body"/>
      </w:pPr>
      <w:r>
        <w:rPr>
          <w:b/>
          <w:i w:val="0"/>
        </w:rPr>
        <w:t>EX-079 — Capacité par sens d’échange.</w:t>
      </w:r>
      <w:r>
        <w:t xml:space="preserve"> </w:t>
      </w:r>
      <w:r>
        <w:rPr>
          <w:rFonts w:ascii="Liberation Mono" w:hAnsi="Liberation Mono" w:eastAsia="Liberation Mono" w:cs="Liberation Mono"/>
          <w:b w:val="0"/>
          <w:color w:val="147D88"/>
          <w:sz w:val="15"/>
        </w:rPr>
        <w:t>lecture</w:t>
      </w:r>
      <w:r>
        <w:t xml:space="preserve">, </w:t>
      </w:r>
      <w:r>
        <w:rPr>
          <w:rFonts w:ascii="Liberation Mono" w:hAnsi="Liberation Mono" w:eastAsia="Liberation Mono" w:cs="Liberation Mono"/>
          <w:b w:val="0"/>
          <w:color w:val="147D88"/>
          <w:sz w:val="15"/>
        </w:rPr>
        <w:t>consultation</w:t>
      </w:r>
      <w:r>
        <w:t xml:space="preserve">, </w:t>
      </w:r>
      <w:r>
        <w:rPr>
          <w:rFonts w:ascii="Liberation Mono" w:hAnsi="Liberation Mono" w:eastAsia="Liberation Mono" w:cs="Liberation Mono"/>
          <w:b w:val="0"/>
          <w:color w:val="147D88"/>
          <w:sz w:val="15"/>
        </w:rPr>
        <w:t>édition</w:t>
      </w:r>
      <w:r>
        <w:t xml:space="preserve">, </w:t>
      </w:r>
      <w:r>
        <w:rPr>
          <w:rFonts w:ascii="Liberation Mono" w:hAnsi="Liberation Mono" w:eastAsia="Liberation Mono" w:cs="Liberation Mono"/>
          <w:b w:val="0"/>
          <w:color w:val="147D88"/>
          <w:sz w:val="15"/>
        </w:rPr>
        <w:t>export</w:t>
      </w:r>
      <w:r>
        <w:t xml:space="preserve">, </w:t>
      </w:r>
      <w:r>
        <w:rPr>
          <w:rFonts w:ascii="Liberation Mono" w:hAnsi="Liberation Mono" w:eastAsia="Liberation Mono" w:cs="Liberation Mono"/>
          <w:b w:val="0"/>
          <w:color w:val="147D88"/>
          <w:sz w:val="15"/>
        </w:rPr>
        <w:t>aller-retour</w:t>
      </w:r>
      <w:r>
        <w:t xml:space="preserve"> sont évalués séparément. Aucun simple export IFC ou DXF ne suffit à prouver un round-trip fidèle ; aucune certification n’est affirmée sans audit correspondant.</w:t>
      </w:r>
    </w:p>
    <w:p>
      <w:pPr>
        <w:pStyle w:val="Body"/>
      </w:pPr>
      <w:r>
        <w:rPr>
          <w:b/>
          <w:i w:val="0"/>
        </w:rPr>
        <w:t>EX-080 — Rapport de transformation.</w:t>
      </w:r>
      <w:r>
        <w:t xml:space="preserve"> Import et export signalent unités et repères, primitives non prises en charge, propriétés perdues, simplifications, conflits d’identifiants et éléments ignorés. Une source non prise en charge ne disparaît pas sans information.</w:t>
      </w:r>
    </w:p>
    <w:p>
      <w:pPr>
        <w:pStyle w:val="H2"/>
      </w:pPr>
      <w:r>
        <w:t>14.4. Dossiers et manifestes immuables</w:t>
      </w:r>
    </w:p>
    <w:p>
      <w:pPr>
        <w:pStyle w:val="Body"/>
      </w:pPr>
      <w:r>
        <w:rPr>
          <w:b/>
          <w:i w:val="0"/>
        </w:rPr>
        <w:t>IF-009 — Publication.</w:t>
      </w:r>
      <w:r>
        <w:t xml:space="preserve"> Le manifeste contient : identifiant, intention/usage, date, auteur, état d’approbation, liste ordonnée de </w:t>
      </w:r>
      <w:r>
        <w:rPr>
          <w:rFonts w:ascii="Liberation Mono" w:hAnsi="Liberation Mono" w:eastAsia="Liberation Mono" w:cs="Liberation Mono"/>
          <w:b w:val="0"/>
          <w:color w:val="147D88"/>
          <w:sz w:val="15"/>
        </w:rPr>
        <w:t>documentId + version + empreinte</w:t>
      </w:r>
      <w:r>
        <w:t>, références de modèles et de règles, rapports de contrôle et observations bloquantes résolues ou dérogées, ainsi que la décision d’approbation sur cet ensemble exact.</w:t>
      </w:r>
    </w:p>
    <w:p>
      <w:pPr>
        <w:pStyle w:val="Body"/>
      </w:pPr>
      <w:r>
        <w:rPr>
          <w:b/>
          <w:i w:val="0"/>
        </w:rPr>
        <w:t>EX-081 — Ensemble coordonné.</w:t>
      </w:r>
      <w:r>
        <w:t xml:space="preserve"> Plusieurs disciplines peuvent avoir des numéros de révision différents ; l’ensemble doit être explicitement coordonné et figé. Une modification après approbation remet en question l’éligibilité du nouveau dossier, pas l’intégrité de la publication historique.</w:t>
      </w:r>
    </w:p>
    <w:p>
      <w:pPr>
        <w:pStyle w:val="Body"/>
      </w:pPr>
      <w:r>
        <w:rPr>
          <w:b/>
          <w:i w:val="0"/>
        </w:rPr>
        <w:t>EX-082 — Publication non réécrite.</w:t>
      </w:r>
      <w:r>
        <w:t xml:space="preserve"> Retrait, remplacement ou nouvelle diffusion sont de nouveaux événements journalisés ; la publication antérieure demeure identifiable.</w:t>
      </w:r>
    </w:p>
    <w:p>
      <w:pPr>
        <w:pStyle w:val="Body"/>
      </w:pPr>
      <w:r>
        <w:rPr>
          <w:b/>
          <w:i w:val="0"/>
        </w:rPr>
        <w:t>AC-009.</w:t>
      </w:r>
      <w:r>
        <w:t xml:space="preserve"> Modifier un document après approbation puis tenter de publier sous l’ancienne décision provoque un blocage ou une demande de nouvel examen, avec comparaison explicite des empreintes concernées.</w:t>
      </w:r>
    </w:p>
    <w:p>
      <w:pPr>
        <w:pStyle w:val="H1"/>
        <w:pageBreakBefore w:val="0"/>
        <w:spacing w:before="240"/>
        <w:pBdr>
          <w:bottom w:val="single" w:sz="12" w:space="6" w:color="147D88"/>
        </w:pBdr>
      </w:pPr>
      <w:r>
        <w:t>15. Workflow, collaboration et permissions</w:t>
      </w:r>
    </w:p>
    <w:p>
      <w:pPr>
        <w:pStyle w:val="H2"/>
      </w:pPr>
      <w:r>
        <w:t>15.1. Trois dimensions d’état indépendantes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Dimension</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Valeurs proposées</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Objet concerné</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Travail</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En cours, à contrôler, corrections demandées, à recontrôler, soumis, approuvé.</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Révision ou dossier candidat figé.</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Diffusion</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Non publié, publié, remplacé, retiré.</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Publication ou ensemble de livrables.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Actualité du dérivé</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À jour pour la source, à recalculer, calcul en cours, échec.</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Vue, métrés, image ou rapport dérivé.</w:t>
            </w:r>
          </w:p>
        </w:tc>
      </w:tr>
    </w:tbl>
    <w:p>
      <w:pPr>
        <w:spacing w:after="40" w:before="0"/>
      </w:pPr>
    </w:p>
    <w:p>
      <w:pPr>
        <w:pStyle w:val="Body"/>
      </w:pPr>
      <w:r>
        <w:t>Une variante R12 peut être en cours pendant que sa publication R11 reste la dernière publication approuvée. Un bouton visible « Approuver » ne modifie aucun état sans transition autorisée côté serveur.</w:t>
      </w:r>
    </w:p>
    <w:p>
      <w:pPr>
        <w:pStyle w:val="H2"/>
      </w:pPr>
      <w:r>
        <w:t>15.2. Transitions et garde-fous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Transition</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Acteur/permission</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Conditions minimales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En cours → À contrôler</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Concepteur / responsable.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Contenu et sources soumis identifiés et figés pour revue.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À contrôler → Corrections demandées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Contrôleur.</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Constat(s), objet(s), preuve et décisions nécessaires.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Corrections demandées → À recontrôler</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Concepteur.</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Nouvelle révision, description et preuves de correction.</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Contrôle satisfaisant → Soumis à approbation</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Responsable habilité.</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Tests et observations bloquantes traités selon le protocole.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Soumis → Approuvé</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Approbateur.</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Ensemble inchangé, rôle autorisé, usage déclaré, journal.</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Soumis → Corrections demandées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Approbateur.</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Motifs consignés, soumission conservée.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Approuvé → Publié</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Publieur.</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Manifeste conforme à l’approbation, droits valides.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Publié → Remplacé/Retiré</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Rôle habilité.</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Nouvelle action traçable, sans réécriture de l’historique.</w:t>
            </w:r>
          </w:p>
        </w:tc>
      </w:tr>
    </w:tbl>
    <w:p>
      <w:pPr>
        <w:spacing w:after="40" w:before="0"/>
      </w:pPr>
    </w:p>
    <w:p>
      <w:pPr>
        <w:pStyle w:val="Body"/>
      </w:pPr>
      <w:r>
        <w:rPr>
          <w:b/>
          <w:i w:val="0"/>
        </w:rPr>
        <w:t>EX-083 — Séparation des décisions.</w:t>
      </w:r>
      <w:r>
        <w:t xml:space="preserve"> Approuver et publier sont deux permissions différentes. Un administrateur technique n’obtient pas automatiquement la fonction d’approbateur métier. Un cumul de rôles peut être autorisé selon taille d’équipe, mais un autocontrôle doit rester identifié comme tel.</w:t>
      </w:r>
    </w:p>
    <w:p>
      <w:pPr>
        <w:pStyle w:val="Body"/>
      </w:pPr>
      <w:r>
        <w:rPr>
          <w:b/>
          <w:i w:val="0"/>
        </w:rPr>
        <w:t>EX-084 — Observations/tâches/décisions.</w:t>
      </w:r>
      <w:r>
        <w:t xml:space="preserve"> Une annotation est une note ; une observation décrit un constat ; une tâche attribue une action à un responsable ; une décision enregistre un arbitrage. Ces objets sont reliables mais ne se substituent pas l’un à l’autre.</w:t>
      </w:r>
    </w:p>
    <w:p>
      <w:pPr>
        <w:pStyle w:val="Body"/>
      </w:pPr>
      <w:r>
        <w:rPr>
          <w:b/>
          <w:i w:val="0"/>
        </w:rPr>
        <w:t>EX-085 — Délégation contrôlée.</w:t>
      </w:r>
      <w:r>
        <w:t xml:space="preserve"> L’absence d’un approbateur ne vaut pas accord. Une délégation, si permise, possède portée, période, délégant/délégué, justification et événement d’audit.</w:t>
      </w:r>
    </w:p>
    <w:p>
      <w:pPr>
        <w:pStyle w:val="Body"/>
      </w:pPr>
      <w:r>
        <w:rPr>
          <w:b/>
          <w:i w:val="0"/>
        </w:rPr>
        <w:t>AC-010.</w:t>
      </w:r>
      <w:r>
        <w:t xml:space="preserve"> Un concepteur sans droit d’approbation peut afficher l’outil par recherche mais reçoit un refus d’exécution. La modification de son profil personnel n’influe pas sur le contrôle serveur.</w:t>
      </w:r>
    </w:p>
    <w:p>
      <w:pPr>
        <w:pStyle w:val="H2"/>
      </w:pPr>
      <w:r>
        <w:t>15.3. Contrat d’une observation</w:t>
      </w:r>
    </w:p>
    <w:p>
      <w:pPr>
        <w:pStyle w:val="Body"/>
      </w:pPr>
      <w:r>
        <w:rPr>
          <w:b/>
          <w:i w:val="0"/>
        </w:rPr>
        <w:t>IF-010 — Observation.</w:t>
      </w:r>
      <w:r>
        <w:t xml:space="preserve"> Champs : </w:t>
      </w:r>
      <w:r>
        <w:rPr>
          <w:rFonts w:ascii="Liberation Mono" w:hAnsi="Liberation Mono" w:eastAsia="Liberation Mono" w:cs="Liberation Mono"/>
          <w:b w:val="0"/>
          <w:color w:val="147D88"/>
          <w:sz w:val="15"/>
        </w:rPr>
        <w:t>issueId</w:t>
      </w:r>
      <w:r>
        <w:t>, catégorie, source du contrôle, révisions examinées, objets/vues, auteur, gravité selon règles décidées, description et pièces justificatives, responsable éventuel, état, journal de décisions, références des recontrôles et condition de clôture. Les identifiants BCF éventuels sont conservés comme références, non assimilés automatiquement aux identifiants internes.</w:t>
      </w:r>
    </w:p>
    <w:p>
      <w:pPr>
        <w:pStyle w:val="Body"/>
      </w:pPr>
      <w:r>
        <w:rPr>
          <w:b/>
          <w:i w:val="0"/>
        </w:rPr>
        <w:t>EX-086 — Réexamen.</w:t>
      </w:r>
      <w:r>
        <w:t xml:space="preserve"> Un contrôle de nouvelle révision rapproche les observations antérieures par identité/source/règle et produit un statut de suivi ; la fermeture automatique sur simple disparition d’un objet est interdite.</w:t>
      </w:r>
    </w:p>
    <w:p>
      <w:pPr>
        <w:pStyle w:val="H1"/>
        <w:pageBreakBefore w:val="0"/>
        <w:spacing w:before="240"/>
        <w:pBdr>
          <w:bottom w:val="single" w:sz="12" w:space="6" w:color="147D88"/>
        </w:pBdr>
      </w:pPr>
      <w:r>
        <w:t>16. Services d’API, persistance et intégration native</w:t>
      </w:r>
    </w:p>
    <w:p>
      <w:pPr>
        <w:pStyle w:val="H2"/>
      </w:pPr>
      <w:r>
        <w:t>16.1. Familles d’interfaces cibles</w:t>
      </w:r>
    </w:p>
    <w:p>
      <w:pPr>
        <w:pStyle w:val="Body"/>
      </w:pPr>
      <w:r>
        <w:t xml:space="preserve">Les chemins HTTP ci-dessous sont </w:t>
      </w:r>
      <w:r>
        <w:rPr>
          <w:b/>
          <w:i w:val="0"/>
        </w:rPr>
        <w:t>des domaines de contrat et non des routes existantes promises</w:t>
      </w:r>
      <w:r>
        <w:t>. Les adaptateurs physiques seront définis à la décision d’architecture en cohérence avec les APIs Fadi.</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Contrat</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Responsabilité</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Exemple d’action logique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Studies</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Études, variantes, révisions, sources.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Créer étude, cloner variante, lire révision.</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DesignCommands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Commandes, idempotence, conflits, journal.</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Prévisualiser / confirmer une opération.</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ToolCatalogue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Manifests, permissions déclarées, compatibilités.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Rechercher capacités et versions.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ToolProfiles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Préférences et synchronisation d’espaces.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Enregistrer / partager / restaurer un profil.</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Models</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Accès contrôlé aux objets canoniques et associations.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Lire un objet et ses dépendances.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SpatialServices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Calculs et index dérivés si serveur utile.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Calculer une projection liée à une révision.</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Checks</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Règles, lancement de contrôles et constats.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Lancer sur ensemble figé de sources.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Jobs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Tâches longues, statut, annulation, résultat.</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Soumettre une exportation et suivre son job.</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Documents</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Vues, feuilles, quantités, rapports, stockage.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Composer un dossier et générer un livrable.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Reviews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Observations, tâches, transitions, approbations.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Soumettre, demander correction, approuver.</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Publications</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Manifeste immuable et diffusion.</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Publier l’ensemble approuvé.</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ExternalAdapters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Imports, exports, IFC/DXF/BCF et IA sous contrat.</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Valider un échange, produire rapport de perte.</w:t>
            </w:r>
          </w:p>
        </w:tc>
      </w:tr>
    </w:tbl>
    <w:p>
      <w:pPr>
        <w:spacing w:after="40" w:before="0"/>
      </w:pPr>
    </w:p>
    <w:p>
      <w:pPr>
        <w:pStyle w:val="Body"/>
      </w:pPr>
      <w:r>
        <w:rPr>
          <w:b/>
          <w:i w:val="0"/>
        </w:rPr>
        <w:t>EX-087 — Intégration contrôlée.</w:t>
      </w:r>
      <w:r>
        <w:t xml:space="preserve"> Les modules Fadi existants restent responsables des données transverses qu’ils possèdent. Tout nouvel endpoint nécessite un contrôle de droit tenant/projet, de schéma, de révision, d’idempotence, de taille d’entrée et de journal.</w:t>
      </w:r>
    </w:p>
    <w:p>
      <w:pPr>
        <w:pStyle w:val="Body"/>
      </w:pPr>
      <w:r>
        <w:rPr>
          <w:b/>
          <w:i w:val="0"/>
        </w:rPr>
        <w:t>EX-088 — Isolation multi-utilisateurs.</w:t>
      </w:r>
      <w:r>
        <w:t xml:space="preserve"> Le système interdit l’accès aux documents, profils et variantes d’un autre périmètre sans autorisation. Les URL de blob, résultats de jobs et exports temporairement accessibles sont soumis à l’autorisation de l’objet source.</w:t>
      </w:r>
    </w:p>
    <w:p>
      <w:pPr>
        <w:pStyle w:val="Body"/>
      </w:pPr>
      <w:r>
        <w:rPr>
          <w:b/>
          <w:i w:val="0"/>
        </w:rPr>
        <w:t>EX-089 — Persistance et reprise.</w:t>
      </w:r>
      <w:r>
        <w:t xml:space="preserve"> Une confirmation envoyée au navigateur doit correspondre à un engagement durable conforme au contrat de sauvegarde. Les sauvegardes, restaurations et récupérations d’incident sont testées sur un corpus contenant données de conception, associations et publications.</w:t>
      </w:r>
    </w:p>
    <w:p>
      <w:pPr>
        <w:pStyle w:val="H2"/>
      </w:pPr>
      <w:r>
        <w:t>16.2. Versions, événements et synchronisation</w:t>
      </w:r>
    </w:p>
    <w:p>
      <w:pPr>
        <w:pStyle w:val="Body"/>
      </w:pPr>
      <w:r>
        <w:rPr>
          <w:b/>
          <w:i w:val="0"/>
        </w:rPr>
        <w:t>IF-011 — Journal de changement.</w:t>
      </w:r>
      <w:r>
        <w:t xml:space="preserve"> Événement avec </w:t>
      </w:r>
      <w:r>
        <w:rPr>
          <w:rFonts w:ascii="Liberation Mono" w:hAnsi="Liberation Mono" w:eastAsia="Liberation Mono" w:cs="Liberation Mono"/>
          <w:b w:val="0"/>
          <w:color w:val="147D88"/>
          <w:sz w:val="15"/>
        </w:rPr>
        <w:t>eventId</w:t>
      </w:r>
      <w:r>
        <w:t>, transaction, auteur, étude/variante, révision base/issue, effets, horodatage serveur et relation éventuelle à un job. La diffusion de notifications ne constitue pas une confirmation métier sans engagement préalable.</w:t>
      </w:r>
    </w:p>
    <w:p>
      <w:pPr>
        <w:pStyle w:val="Body"/>
      </w:pPr>
      <w:r>
        <w:rPr>
          <w:b/>
          <w:i w:val="0"/>
        </w:rPr>
        <w:t>EX-090 — Reconstruction.</w:t>
      </w:r>
      <w:r>
        <w:t xml:space="preserve"> Une restauration doit permettre de retrouver le modèle canonique confirmé, les manifestes et leurs pièces, les références, les droits applicables et les identités des documents. Les caches GPU et index spatiaux sont reconstruits, non sauvegardés comme preuve faisant autorité.</w:t>
      </w:r>
    </w:p>
    <w:p>
      <w:pPr>
        <w:pStyle w:val="H2"/>
      </w:pPr>
      <w:r>
        <w:t>16.3. Stratégie de migration de l’Atelier</w:t>
      </w:r>
    </w:p>
    <w:p>
      <w:pPr>
        <w:pStyle w:val="Body"/>
      </w:pPr>
      <w:r>
        <w:t xml:space="preserve">Les composants identifiés dans le dépôt doivent être </w:t>
      </w:r>
      <w:r>
        <w:rPr>
          <w:b/>
          <w:i w:val="0"/>
        </w:rPr>
        <w:t>évalués</w:t>
      </w:r>
      <w:r>
        <w:t>, non recopiés ni remplacés automatiquement. La migration logique distingue : (a) conversion des dessins actuels ; (b) conservation des objets architecturaux et identités ; (c) découplage des Planche 2D et 3D ; (d) extraction des déclarations d’outils ; (e) conservation de l’historique et de la file hors connexion ; (f) prise en charge des documents approuvés.</w:t>
      </w:r>
    </w:p>
    <w:p>
      <w:pPr>
        <w:pStyle w:val="Body"/>
      </w:pPr>
      <w:r>
        <w:rPr>
          <w:b/>
          <w:i w:val="0"/>
        </w:rPr>
        <w:t>EX-091 — Migration non destructrice.</w:t>
      </w:r>
      <w:r>
        <w:t xml:space="preserve"> Une étude existante ne doit pas perdre une propriété, une cote, une association, un identifiant documentaire, une révision ou un accès sans rapport explicite, procédure d’accord et solution de restauration. Toute bascule définit des jeux d’essai d’avant/après et un point de retour arrière.</w:t>
      </w:r>
    </w:p>
    <w:p>
      <w:pPr>
        <w:pStyle w:val="H1"/>
        <w:pageBreakBefore w:val="0"/>
        <w:spacing w:before="240"/>
        <w:pBdr>
          <w:bottom w:val="single" w:sz="12" w:space="6" w:color="147D88"/>
        </w:pBdr>
      </w:pPr>
      <w:r>
        <w:t>17. Sécurité, confidentialité et chaîne d’approvisionnement</w:t>
      </w:r>
    </w:p>
    <w:p>
      <w:pPr>
        <w:pStyle w:val="H2"/>
      </w:pPr>
      <w:r>
        <w:t>17.1. Modèle de menaces minimal</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Menace</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Contrôle requis</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Scénario négatif</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Manipulation des paramètres outil</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Validation serveur et autorisation par opération.</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Épaisseur négative ou objet appartenant à autrui.</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Outil découvert mais interdit</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Contrôle effectif et refus journalisé.</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Profil importe « Publier » sans droit.</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Extension compromise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Origine, signature/politique de confiance, permissions minimales, isolation.</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Manifeste tente de charger un script arbitraire.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Injection via DXF/IFC/BCF/texte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Validation, limites de taille, sanitation et parsing défensif.</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Fichier malformé ou contenu actif injecté.</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Fuite de modèle vers un service IA</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Autorisations, confidentialité, minimisation et politique fournisseur.</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Transmission sans consentement/contrat adapté.</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Rejeu d’une commande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Idempotence et contexte de révision.</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Double création de mur après reconnect.</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Résultat de job ancien</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 xml:space="preserve">Vérification </w:t>
            </w:r>
            <w:r>
              <w:rPr>
                <w:rFonts w:ascii="Liberation Sans" w:hAnsi="Liberation Sans" w:eastAsia="Liberation Sans" w:cs="Liberation Sans"/>
                <w:b w:val="0"/>
                <w:color w:val="263442"/>
                <w:sz w:val="15"/>
              </w:rPr>
              <w:t>revisionId</w:t>
            </w:r>
            <w:r>
              <w:rPr>
                <w:rFonts w:ascii="Liberation Sans" w:hAnsi="Liberation Sans" w:eastAsia="Liberation Sans" w:cs="Liberation Sans"/>
                <w:color w:val="263442"/>
                <w:sz w:val="15"/>
              </w:rPr>
              <w:t>/empreinte d’entrée.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BRep ancienne remplace une scène corrigée.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Accès cross-project</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Isolation autoritaire par ressource, test d’accès.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Téléchargement d’un livrable d’un autre projet.</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Déni de service par calcul lourd</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Limites, quotas, annulation, suivi mémoire/CPU.</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Répétition de booléens coûteux.</w:t>
            </w:r>
          </w:p>
        </w:tc>
      </w:tr>
    </w:tbl>
    <w:p>
      <w:pPr>
        <w:spacing w:after="40" w:before="0"/>
      </w:pPr>
    </w:p>
    <w:p>
      <w:pPr>
        <w:pStyle w:val="Body"/>
      </w:pPr>
      <w:r>
        <w:rPr>
          <w:b/>
          <w:i w:val="0"/>
        </w:rPr>
        <w:t>EX-092 — Protection par défaut.</w:t>
      </w:r>
      <w:r>
        <w:t xml:space="preserve"> Chaque mutation et lecture sensible passe par identification de session, autorisation dans le contexte et validation des entrées. La sécurité client sert à guider l’UX, jamais à remplacer le serveur.</w:t>
      </w:r>
    </w:p>
    <w:p>
      <w:pPr>
        <w:pStyle w:val="Body"/>
      </w:pPr>
      <w:r>
        <w:rPr>
          <w:b/>
          <w:i w:val="0"/>
        </w:rPr>
        <w:t>EX-093 — Intégrité des modèles.</w:t>
      </w:r>
      <w:r>
        <w:t xml:space="preserve"> Les commandes et opérations de géométrie vérifient contraintes, types, unités et appartenance. Le serveur refuse les mutations qui violeraient les invariants, même si l’outil client les présente comme valides.</w:t>
      </w:r>
    </w:p>
    <w:p>
      <w:pPr>
        <w:pStyle w:val="Body"/>
      </w:pPr>
      <w:r>
        <w:rPr>
          <w:b/>
          <w:i w:val="0"/>
        </w:rPr>
        <w:t>EX-094 — Confidentialité des sources.</w:t>
      </w:r>
      <w:r>
        <w:t xml:space="preserve"> Les rendus, fichiers importés, modèles de références et images adressés à un service externe ne le sont qu’au terme d’un contrôle de politique, avec conservation de la provenance et signalement des informations inconnues.</w:t>
      </w:r>
    </w:p>
    <w:p>
      <w:pPr>
        <w:pStyle w:val="H2"/>
      </w:pPr>
      <w:r>
        <w:t>17.2. Mise en production et exploitation</w:t>
      </w:r>
    </w:p>
    <w:p>
      <w:pPr>
        <w:pStyle w:val="Body"/>
      </w:pPr>
      <w:r>
        <w:t>Le périmètre de conception doit préciser : politique CSP compatible avec les composants WASM requis ; durcissement d’API ; journalisation minimale ; alertes sur échecs de workers/jobs ; politique de sauvegarde et test de restauration ; détection de vulnérabilités des dépendances ; version du noyau et licence ; stratégie de rollback des bundles et schémas.</w:t>
      </w:r>
    </w:p>
    <w:p>
      <w:pPr>
        <w:pStyle w:val="Body"/>
      </w:pPr>
      <w:r>
        <w:rPr>
          <w:b/>
          <w:i w:val="0"/>
        </w:rPr>
        <w:t>EX-095 — Observabilité.</w:t>
      </w:r>
      <w:r>
        <w:t xml:space="preserve"> Des mesures agrégées de latence, de mémoire, d’erreurs et de tâches doivent permettre de détecter une dégradation de service sans enregistrer inutilement les géométries confidentielles ou des secrets d’accès. Les traces sont corrélées par identifiants non sensibles de commande/job.</w:t>
      </w:r>
    </w:p>
    <w:p>
      <w:pPr>
        <w:pStyle w:val="Body"/>
      </w:pPr>
      <w:r>
        <w:rPr>
          <w:b/>
          <w:i w:val="0"/>
        </w:rPr>
        <w:t>EX-096 — Licence et provenance.</w:t>
      </w:r>
      <w:r>
        <w:t xml:space="preserve"> L’utilisation de WASM ou moteurs tiers s’accompagne de l’inventaire des versions, licences et obligations de redistribution/remplacement applicables, vérifiées pour l’artefact effectivement distribué.</w:t>
      </w:r>
    </w:p>
    <w:p>
      <w:pPr>
        <w:pStyle w:val="H1"/>
        <w:pageBreakBefore w:val="0"/>
        <w:spacing w:before="240"/>
        <w:pBdr>
          <w:bottom w:val="single" w:sz="12" w:space="6" w:color="147D88"/>
        </w:pBdr>
      </w:pPr>
      <w:r>
        <w:t>18. Performance, profils de charge et protocole de mesure</w:t>
      </w:r>
    </w:p>
    <w:p>
      <w:pPr>
        <w:pStyle w:val="H2"/>
      </w:pPr>
      <w:r>
        <w:t>18.1. Mesures séparées, sans seuils inventés</w:t>
      </w:r>
    </w:p>
    <w:p>
      <w:pPr>
        <w:pStyle w:val="Body"/>
      </w:pPr>
      <w:r>
        <w:t xml:space="preserve">Les budgets de performance relèvent du niveau 3 : chaque seuil associe un appareil, une scène, une opération, un environnement, une méthode, une distribution et un critère d’acceptation. Un écran à 60 Hz dispose théoriquement de </w:t>
      </w:r>
      <w:r>
        <w:rPr>
          <w:b/>
          <w:i w:val="0"/>
        </w:rPr>
        <w:t>16,7 ms pour l’ensemble de la trame</w:t>
      </w:r>
      <w:r>
        <w:t>, mais cette valeur n’est pas une promesse de délai pour chaque outil.</w:t>
      </w:r>
    </w:p>
    <w:tbl>
      <w:tblPr>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601"/>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Code</w:t>
            </w:r>
          </w:p>
        </w:tc>
        <w:tc>
          <w:tcPr>
            <w:tcW w:type="dxa" w:w="24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Mesure</w:t>
            </w:r>
          </w:p>
        </w:tc>
        <w:tc>
          <w:tcPr>
            <w:tcW w:type="dxa" w:w="3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Profils à renseigner</w:t>
            </w:r>
          </w:p>
        </w:tc>
        <w:tc>
          <w:tcPr>
            <w:tcW w:type="dxa" w:w="25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Porte de qualité</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PERF-01</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Ouverture de Studio jusqu’à la première action utile.</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Cache froid/chaud, réseau, CPU, appareil.</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p50/p95 avec limite décidée.</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PERF-02</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Activation d’outil simple et spécialisé.</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Bundle, dépendances, worker, première réponse.</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Temps d’activation + bytes + mémoire.</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PERF-03</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Pointeur → preview visible.</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Périphérique, FPS, densité de scène.</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Latence de bout en bout.</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PERF-04</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Snapping/ciblage correct.</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 xml:space="preserve">100 / 10 000 / 100 000 primitives </w:t>
            </w:r>
            <w:r>
              <w:rPr>
                <w:rFonts w:ascii="Liberation Sans" w:hAnsi="Liberation Sans" w:eastAsia="Liberation Sans" w:cs="Liberation Sans"/>
                <w:b/>
                <w:i w:val="0"/>
                <w:color w:val="263442"/>
                <w:sz w:val="14"/>
              </w:rPr>
              <w:t>illustratives</w:t>
            </w:r>
            <w:r>
              <w:rPr>
                <w:rFonts w:ascii="Liberation Sans" w:hAnsi="Liberation Sans" w:eastAsia="Liberation Sans" w:cs="Liberation Sans"/>
                <w:color w:val="263442"/>
                <w:sz w:val="14"/>
              </w:rPr>
              <w:t>, densité variable.</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p50/p95/p99 ET conformité géométrique.</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PERF-05</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Navigation 2D/3D.</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Plans annotés, modèles BIM mixtes, GPU réel.</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CPU/GPU séparés, trames manquées.</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PERF-06</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Modif. objet architectural.</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Mur hôte, ouvertures, dépendances, index.</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Coût d’invalidation vs reconstruction totale.</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PERF-07</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Booléen exact.</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Formes simples, cas dégénérés, BRep fournisseurs.</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Chargement, calcul, mémoire, erreurs, précision.</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PERF-08</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Génération documentaire.</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Détails, vues, feuilles multi-sources, PDF/DXF.</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Temps, annulation, export fidèle.</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PERF-09</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Mémoire longue session.</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Changement d’outils, fermer/réouvrir.</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Pic, résiduelle, absence de fuite.</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PERF-10</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Travail hors ligne.</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Profils en cache, interruption/sync.</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Disponibilité réelle et données récupérables.</w:t>
            </w:r>
          </w:p>
        </w:tc>
      </w:tr>
    </w:tbl>
    <w:p>
      <w:pPr>
        <w:spacing w:after="40" w:before="0"/>
      </w:pPr>
    </w:p>
    <w:p>
      <w:pPr>
        <w:pStyle w:val="Body"/>
      </w:pPr>
      <w:r>
        <w:t xml:space="preserve">Les densités chiffrées sont des </w:t>
      </w:r>
      <w:r>
        <w:rPr>
          <w:b/>
          <w:i w:val="0"/>
        </w:rPr>
        <w:t>tailles de jeux d’essai candidates</w:t>
      </w:r>
      <w:r>
        <w:t xml:space="preserve"> et non des engagements de capacité. Les seuils et appareils seront validés à la décision DEC-13.</w:t>
      </w:r>
    </w:p>
    <w:p>
      <w:pPr>
        <w:pStyle w:val="H2"/>
      </w:pPr>
      <w:r>
        <w:t>18.2. Scènes représentatives</w:t>
      </w:r>
    </w:p>
    <w:p>
      <w:pPr>
        <w:pStyle w:val="Body"/>
      </w:pPr>
      <w:r>
        <w:rPr>
          <w:b/>
          <w:i w:val="0"/>
        </w:rPr>
        <w:t>Scène S1 :</w:t>
      </w:r>
      <w:r>
        <w:t xml:space="preserve"> détail 2D isolé avec cotes, textes, hachures, blocs, entités courbes et contraintes. </w:t>
      </w:r>
      <w:r>
        <w:rPr>
          <w:b/>
          <w:i w:val="0"/>
        </w:rPr>
        <w:t>S2 :</w:t>
      </w:r>
      <w:r>
        <w:t xml:space="preserve"> plan de niveau avec murs, portes, fenêtres, croisements et références liées. </w:t>
      </w:r>
      <w:r>
        <w:rPr>
          <w:b/>
          <w:i w:val="0"/>
        </w:rPr>
        <w:t>S3 :</w:t>
      </w:r>
      <w:r>
        <w:t xml:space="preserve"> plan 2D très dense, entités superposées et intersections nombreuses. </w:t>
      </w:r>
      <w:r>
        <w:rPr>
          <w:b/>
          <w:i w:val="0"/>
        </w:rPr>
        <w:t>S4 :</w:t>
      </w:r>
      <w:r>
        <w:t xml:space="preserve"> immeuble multi-niveaux, structure, réseaux et composants répétitifs. </w:t>
      </w:r>
      <w:r>
        <w:rPr>
          <w:b/>
          <w:i w:val="0"/>
        </w:rPr>
        <w:t>S5 :</w:t>
      </w:r>
      <w:r>
        <w:t xml:space="preserve"> géométrie 3D libre avec booléens, courbes exactes et surfaces complexes. </w:t>
      </w:r>
      <w:r>
        <w:rPr>
          <w:b/>
          <w:i w:val="0"/>
        </w:rPr>
        <w:t>S6 :</w:t>
      </w:r>
      <w:r>
        <w:t xml:space="preserve"> étude avec plusieurs variantes, révisions, dossiers et contrôles. </w:t>
      </w:r>
      <w:r>
        <w:rPr>
          <w:b/>
          <w:i w:val="0"/>
        </w:rPr>
        <w:t>S7 :</w:t>
      </w:r>
      <w:r>
        <w:t xml:space="preserve"> session hors réseau puis reconnectée. Chaque scène a une licence d’utilisation autorisée et une empreinte de corpus conservée.</w:t>
      </w:r>
    </w:p>
    <w:p>
      <w:pPr>
        <w:pStyle w:val="H2"/>
      </w:pPr>
      <w:r>
        <w:t>18.3. Méthode</w:t>
      </w:r>
    </w:p>
    <w:p>
      <w:pPr>
        <w:pStyle w:val="Body"/>
      </w:pPr>
      <w:r>
        <w:rPr>
          <w:b/>
          <w:i w:val="0"/>
        </w:rPr>
        <w:t>EX-097 — Mesure reproductible.</w:t>
      </w:r>
      <w:r>
        <w:t xml:space="preserve"> Fixer matériel, navigateur/version, mémoire, GPU/driver, taille d’écran, statut des caches, réseau, build, commit, répétitions, opérations, outliers et méthode statistique ; conserver traces et scripts. Les mesures JavaScript </w:t>
      </w:r>
      <w:r>
        <w:rPr>
          <w:rFonts w:ascii="Liberation Mono" w:hAnsi="Liberation Mono" w:eastAsia="Liberation Mono" w:cs="Liberation Mono"/>
          <w:b w:val="0"/>
          <w:color w:val="147D88"/>
          <w:sz w:val="15"/>
        </w:rPr>
        <w:t>renderer.render()</w:t>
      </w:r>
      <w:r>
        <w:t xml:space="preserve"> ne sont pas assimilées automatiquement au coût GPU, et SwiftShader ne remplace pas un GPU physique.</w:t>
      </w:r>
    </w:p>
    <w:p>
      <w:pPr>
        <w:pStyle w:val="Body"/>
      </w:pPr>
      <w:r>
        <w:rPr>
          <w:b/>
          <w:i w:val="0"/>
        </w:rPr>
        <w:t>EX-098 — Double vérification.</w:t>
      </w:r>
      <w:r>
        <w:t xml:space="preserve"> Tout gain de performance est accompagné d’une comparaison géométrique et fonctionnelle : mêmes cibles de snapping, même sélection, mêmes dimensions/quantités, mêmes objets exportés dans les tolérances, même comportement d’annulation et de conflits.</w:t>
      </w:r>
    </w:p>
    <w:p>
      <w:pPr>
        <w:pStyle w:val="Body"/>
      </w:pPr>
      <w:r>
        <w:rPr>
          <w:b/>
          <w:i w:val="0"/>
        </w:rPr>
        <w:t>EX-099 — Adaptativité conditionnée.</w:t>
      </w:r>
      <w:r>
        <w:t xml:space="preserve"> La dégradation graphique répond aux mesures et aux préférences ; aucune réduction d’effet ne peut affecter les invariants de conception. Le résultat demeure publiable sur données de référence, indépendamment de la qualité instantanée de la prévisualisation.</w:t>
      </w:r>
    </w:p>
    <w:p>
      <w:pPr>
        <w:pStyle w:val="H1"/>
        <w:pageBreakBefore w:val="0"/>
        <w:spacing w:before="240"/>
        <w:pBdr>
          <w:bottom w:val="single" w:sz="12" w:space="6" w:color="147D88"/>
        </w:pBdr>
      </w:pPr>
      <w:r>
        <w:t>19. Stratégie d’essais, critères d’acceptation et preuves</w:t>
      </w:r>
    </w:p>
    <w:p>
      <w:pPr>
        <w:pStyle w:val="H2"/>
      </w:pPr>
      <w:r>
        <w:t>19.1. Pyramide de validation</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Niveau</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But</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Livrable/preuve attendue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 unitaire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Géométrie, calculs, contrats purs, invariants locaux.</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Corpus, résultats attendus, tolérances et rapport machine.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 de contrat</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Manifests, schemas, permissions, messages workers, versioning.</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Vérifications positives/négatives et compatibilité.</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 d’intégration</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Commandes ↔ modèle ↔ scènes ↔ documents ↔ API.</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Tests reproductibles et versions source/sortie.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 E2E métier</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Trois parcours 2D, 3D, associé ; revue et publication.</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Scénarios utilisateur, captures/provenance et décision.</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 de non-régression</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Ancien vs nouveau rendu ou calcul.</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Équivalence géométrique et fonctionnelle dans tolérances.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Benchmark contrôlé</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Latence, chargement, mémoire, GPU, offline.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Profils S1–S7, distributions, scripts et décision DEC-13.</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 de résilience</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Worker crash, réseau interrompu, quotas/cache, restauration.</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Récupération, absence de doublons et audit.</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 de sécurité</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Accès inter-projet, permissions, mutations, extensions, imports.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Scénarios de refus et contrôles serveur.</w:t>
            </w:r>
          </w:p>
        </w:tc>
      </w:tr>
    </w:tbl>
    <w:p>
      <w:pPr>
        <w:spacing w:after="40" w:before="0"/>
      </w:pPr>
    </w:p>
    <w:p>
      <w:pPr>
        <w:pStyle w:val="Body"/>
      </w:pPr>
      <w:r>
        <w:rPr>
          <w:b/>
          <w:i w:val="0"/>
        </w:rPr>
        <w:t>EX-100 — Critère de preuve.</w:t>
      </w:r>
      <w:r>
        <w:t xml:space="preserve"> Une preuve est rattachée à </w:t>
      </w:r>
      <w:r>
        <w:rPr>
          <w:rFonts w:ascii="Liberation Mono" w:hAnsi="Liberation Mono" w:eastAsia="Liberation Mono" w:cs="Liberation Mono"/>
          <w:b w:val="0"/>
          <w:color w:val="147D88"/>
          <w:sz w:val="15"/>
        </w:rPr>
        <w:t>build</w:t>
      </w:r>
      <w:r>
        <w:t xml:space="preserve">, </w:t>
      </w:r>
      <w:r>
        <w:rPr>
          <w:rFonts w:ascii="Liberation Mono" w:hAnsi="Liberation Mono" w:eastAsia="Liberation Mono" w:cs="Liberation Mono"/>
          <w:b w:val="0"/>
          <w:color w:val="147D88"/>
          <w:sz w:val="15"/>
        </w:rPr>
        <w:t>commit</w:t>
      </w:r>
      <w:r>
        <w:t>, version du contrat, jeu de données/empreinte, environnement, auteur/exécutant, horodatage, verdict, logs utiles et référence stable. « La CI est verte » ne prouve pas qu’un scénario non présent dans la CI a été testé.</w:t>
      </w:r>
    </w:p>
    <w:p>
      <w:pPr>
        <w:pStyle w:val="Body"/>
      </w:pPr>
      <w:r>
        <w:rPr>
          <w:b/>
          <w:i w:val="0"/>
        </w:rPr>
        <w:t>EX-101 — Gestion des régressions.</w:t>
      </w:r>
      <w:r>
        <w:t xml:space="preserve"> Un correctif modifiant la géométrie, les projections, les workers ou le Registry déclenche les tests pertinents d’exactitude, d’historique, de permissions, de persistance et de compatibilité des profils.</w:t>
      </w:r>
    </w:p>
    <w:p>
      <w:pPr>
        <w:pStyle w:val="H2"/>
      </w:pPr>
      <w:r>
        <w:t>19.2. Tableau des scénarios vérifiables</w:t>
      </w:r>
    </w:p>
    <w:p>
      <w:pPr>
        <w:pStyle w:val="Body"/>
      </w:pPr>
      <w:r>
        <w:rPr>
          <w:b/>
          <w:i w:val="0"/>
        </w:rPr>
        <w:t>Les tests suivants sont prescrits et non exécutés dans la préparation de ce document.</w:t>
      </w:r>
      <w:r>
        <w:t xml:space="preserve"> Leur état initial est </w:t>
      </w:r>
      <w:r>
        <w:rPr>
          <w:rFonts w:ascii="Liberation Mono" w:hAnsi="Liberation Mono" w:eastAsia="Liberation Mono" w:cs="Liberation Mono"/>
          <w:b w:val="0"/>
          <w:color w:val="147D88"/>
          <w:sz w:val="15"/>
        </w:rPr>
        <w:t>à réaliser</w:t>
      </w:r>
      <w:r>
        <w:t xml:space="preserve"> ; le dossier de validation consignera les résultats et dérogations.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TEST</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Situation</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Attendu / critère discriminant</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TEST-001</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Nouvelle étude, Planche 2D seule.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Dessiner, coter, enregistrer, fermer, rouvrir et publier sans modèle 3D.</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TEST-002</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Nouvelle étude, Planche 3D seule.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Construire volume, éditer faces, sauvegarder et dériver une vue plane.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TEST-003</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Modifier un mur associé depuis 2D puis 3D.</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 xml:space="preserve">Même </w:t>
            </w:r>
            <w:r>
              <w:rPr>
                <w:rFonts w:ascii="Liberation Sans" w:hAnsi="Liberation Sans" w:eastAsia="Liberation Sans" w:cs="Liberation Sans"/>
                <w:b w:val="0"/>
                <w:color w:val="263442"/>
                <w:sz w:val="15"/>
              </w:rPr>
              <w:t>objectId</w:t>
            </w:r>
            <w:r>
              <w:rPr>
                <w:rFonts w:ascii="Liberation Sans" w:hAnsi="Liberation Sans" w:eastAsia="Liberation Sans" w:cs="Liberation Sans"/>
                <w:color w:val="263442"/>
                <w:sz w:val="15"/>
              </w:rPr>
              <w:t>, paramètres et hôtes cohérents dans les deux planches.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TEST-004</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Copie indépendante d’un profil et d’un objet.</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Nouvelles identités ; aucune propagation vers la source d’origine.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TEST-005</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Extruder un profil 2D.</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Demande explicite de hauteur/direction et relation de suivi.</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TEST-006</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Modifier profil source lié.</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Volume dépendant recalculé ou invalidé sans réponse ancienne.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TEST-007</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Diviser une face cotée en deux.</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Rattachement prouvé ou statut « à résoudre » ; aucune approximation silencieuse.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TEST-008</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Porte déplacée hors du mur hôte.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Refus atomique ou résolution explicite, sans géométrie partielle.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TEST-009</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Mur 6 × 3 × 0,2 et ouverture 1 × 2,1.</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3,600 m³ brut, 0,420 m³ déduit, 3,180 m³ net.</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TEST-010</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Agrandir l’ouverture à 1,2 m depuis l’autre planche.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Nouveau volume net 3,096 m³ ; révision historique inchangée.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TEST-011</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Annuler/rétablir l’opération associée.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Références stables, métrés/affichage corrects, aucune perte de publication.</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TEST-012</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Modifier simultanément même mur sur deux sessions.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 xml:space="preserve">Conflit revalidé, pas d’écrasement </w:t>
            </w:r>
            <w:r>
              <w:rPr>
                <w:rFonts w:ascii="Liberation Sans" w:hAnsi="Liberation Sans" w:eastAsia="Liberation Sans" w:cs="Liberation Sans"/>
                <w:b w:val="0"/>
                <w:color w:val="263442"/>
                <w:sz w:val="15"/>
              </w:rPr>
              <w:t>last-write-wins</w:t>
            </w:r>
            <w:r>
              <w:rPr>
                <w:rFonts w:ascii="Liberation Sans" w:hAnsi="Liberation Sans" w:eastAsia="Liberation Sans" w:cs="Liberation Sans"/>
                <w:color w:val="263442"/>
                <w:sz w:val="15"/>
              </w:rPr>
              <w:t>.</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TEST-013</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Répéter une commande après coupure.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 xml:space="preserve">Même résultat, aucune deuxième application du </w:t>
            </w:r>
            <w:r>
              <w:rPr>
                <w:rFonts w:ascii="Liberation Sans" w:hAnsi="Liberation Sans" w:eastAsia="Liberation Sans" w:cs="Liberation Sans"/>
                <w:b w:val="0"/>
                <w:color w:val="263442"/>
                <w:sz w:val="15"/>
              </w:rPr>
              <w:t>requestId</w:t>
            </w:r>
            <w:r>
              <w:rPr>
                <w:rFonts w:ascii="Liberation Sans" w:hAnsi="Liberation Sans" w:eastAsia="Liberation Sans" w:cs="Liberation Sans"/>
                <w:color w:val="263442"/>
                <w:sz w:val="15"/>
              </w:rPr>
              <w:t>.</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TEST-014</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Tâche exacte renvoie une ancienne révision.</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Résultat périmé marqué et non engagé dans le modèle courant.</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TEST-015</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Échec/coupure du worker OCCT.</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Pas de corruption, erreur, relance contrôlée et attente résolue.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TEST-016</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Ouvrir Studio avec profil de 20 outils.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Pas d’initialisation obligatoire des moteurs rares ; mesure de ressources.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TEST-017</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Chercher un outil hors de la barre.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Trouvable dans catalogue, état permission/contexte fidèle.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TEST-018</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Importer un profil contenant « Publier » sans droit.</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Barre éventuellement visible ; appel refusé par serveur.</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TEST-019</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Changer standard → métier → personnel.</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Aucune modification de géométrie, révision ni droits.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TEST-020</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Offline avec profil préparé.</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Outils présents utilisables ; non présents indiqués indisponibles.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TEST-021</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Préparer une commande offline puis reconnecter.</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Validation et conflits serveur, pas de publication anticipée.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TEST-022</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Snapping de scènes S1, S2, S3 accéléré.</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Même point/cible/priorité dans la tolérance que l’algorithme référence.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TEST-023</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Picking 3D après batching/invalidation.</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Identifiant correct pour chaque triangle/instance, même après suppression.</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TEST-024</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Déplacer une porte en vue 3D.</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Seuls lots/projections nécessaires recalculés si optimisation retenue.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TEST-025</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Comparer SVG / Canvas / GPU sur scènes S1–S3.</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Rapports fidélité, accessibilité et latence ; moteur choisi sur preuve.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TEST-026</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Changer matériau apparent d’un mur.</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Aucun changement de composition technique ou de volume net.</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TEST-027</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Modifier surface dessinée vs surface programmée.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Exigence identique ; écart calculé et visible.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TEST-028</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Import IFC/DXF contenant entité inconnue.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Rapport de pertes et état non natif explicite.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TEST-029</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Observation issue d’un contrôle, correction/recontrôle.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Même identité de suivi, responsable, contexte et décision de clôture.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TEST-030</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Approbation puis modification d’un document.</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Publication sous l’ancien manifeste refusée ou soumise à nouveau contrôle.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TEST-031</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Retirer une publication historique.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Action journalisée, contenu historique récupérable selon politique.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TEST-032</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Illustration IA depuis une vue.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Aucune mutation du modèle, provenance et permissions conservées.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TEST-033</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Appel MCP simulé sur commande protégée.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Même schéma, droits, confirmation et idempotence que l’interface humaine.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TEST-034</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Restaurer une sauvegarde après incident.</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Révisions, identités, associations, publications et manifestes retrouvés.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TEST-035</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Objets d’un autre projet via URL/job/export.</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Accès refusé côté serveur, sans fuite de données.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TEST-036</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Actualiser service worker avec commandes locales pendantes.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Contrats compatibles ou migration, aucune file perdue.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TEST-037</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Fermer/réouvrir 50 fois outil exact (jeu d’essai).</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Courbe mémoire analysée ; absence de fuite démontrée selon seuil retenu.</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TEST-038</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Publier dossier composé de plusieurs modèles/révisions.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Manifeste coordonné, empreintes et approbation portant sur cet ensemble.</w:t>
            </w:r>
          </w:p>
        </w:tc>
      </w:tr>
    </w:tbl>
    <w:p>
      <w:pPr>
        <w:spacing w:after="40" w:before="0"/>
      </w:pPr>
    </w:p>
    <w:p>
      <w:pPr>
        <w:pStyle w:val="H2"/>
      </w:pPr>
      <w:r>
        <w:t>19.3. Tests spécifiques des outils</w:t>
      </w:r>
    </w:p>
    <w:p>
      <w:pPr>
        <w:pStyle w:val="Body"/>
      </w:pPr>
      <w:r>
        <w:t>Chaque fiche outil doit comporter un ensemble minimal : scénario normal, paramètres absents, limites numériques, unités incohérentes, cible interdite, contexte non compatible, erreur de calcul, annulation d’aperçu, répétition idempotente, annulation/rétablissement, sérialisation/reprise, concurrence et non-régression. Des scénarios supplémentaires sont requis pour les outils qui modifient la topologie ou portent des informations constructives.</w:t>
      </w:r>
    </w:p>
    <w:p>
      <w:pPr>
        <w:pStyle w:val="Body"/>
      </w:pPr>
      <w:r>
        <w:rPr>
          <w:b/>
          <w:i w:val="0"/>
        </w:rPr>
        <w:t>AC-011.</w:t>
      </w:r>
      <w:r>
        <w:t xml:space="preserve"> Un outil est déclaré </w:t>
      </w:r>
      <w:r>
        <w:rPr>
          <w:rFonts w:ascii="Liberation Mono" w:hAnsi="Liberation Mono" w:eastAsia="Liberation Mono" w:cs="Liberation Mono"/>
          <w:b w:val="0"/>
          <w:color w:val="147D88"/>
          <w:sz w:val="15"/>
        </w:rPr>
        <w:t>prêt pour implémentation</w:t>
      </w:r>
      <w:r>
        <w:t xml:space="preserve"> seulement lorsque ses entrées, sorties, préconditions, permissions, effets, risques, mesures et jeux d’essai sont explicités. Un outil est déclaré </w:t>
      </w:r>
      <w:r>
        <w:rPr>
          <w:rFonts w:ascii="Liberation Mono" w:hAnsi="Liberation Mono" w:eastAsia="Liberation Mono" w:cs="Liberation Mono"/>
          <w:b w:val="0"/>
          <w:color w:val="147D88"/>
          <w:sz w:val="15"/>
        </w:rPr>
        <w:t>conforme</w:t>
      </w:r>
      <w:r>
        <w:t xml:space="preserve"> seulement après preuve d’exécution sur version et profil de charge désignés.</w:t>
      </w:r>
    </w:p>
    <w:p>
      <w:pPr>
        <w:pStyle w:val="H1"/>
        <w:pageBreakBefore w:val="0"/>
        <w:spacing w:before="240"/>
        <w:pBdr>
          <w:bottom w:val="single" w:sz="12" w:space="6" w:color="147D88"/>
        </w:pBdr>
      </w:pPr>
      <w:r>
        <w:t>20. Traçabilité bidirectionnelle des exigences et décisions</w:t>
      </w:r>
    </w:p>
    <w:p>
      <w:pPr>
        <w:pStyle w:val="H2"/>
      </w:pPr>
      <w:r>
        <w:t>20.1. Modèle du registre de traçabilité</w:t>
      </w:r>
    </w:p>
    <w:p>
      <w:pPr>
        <w:pStyle w:val="Body"/>
      </w:pPr>
      <w:r>
        <w:rPr>
          <w:b/>
          <w:i w:val="0"/>
        </w:rPr>
        <w:t>EX-102 — Lien bidirectionnel.</w:t>
      </w:r>
      <w:r>
        <w:t xml:space="preserve"> Toute exigence de niveau 2 dispose au minimum d’un identifiant, d’une source de niveau 1, d’un propriétaire métier, d’un contrat, d’un composant candidat, de tests, de preuves, d’un état et d’une décision si un arbitrage est requis. Les composants existants sont des </w:t>
      </w:r>
      <w:r>
        <w:rPr>
          <w:b/>
          <w:i w:val="0"/>
        </w:rPr>
        <w:t>candidats</w:t>
      </w:r>
      <w:r>
        <w:t xml:space="preserve"> jusqu’à leur audit. Un test identifie l’exigence qu’il vérifie ; un composant identifie les exigences qu’il satisfait.</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Champ</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Objet</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Exemple indicatif</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requirementId</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Identifiant stable.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EX-025</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level1Anchor</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Principe de charte.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 Non-régression géométrique ».</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ownerDomain</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Responsable fonctionnel.</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D1.</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contractId</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Interface/outil/algorithme.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IF-002</w:t>
            </w:r>
            <w:r>
              <w:rPr>
                <w:rFonts w:ascii="Liberation Sans" w:hAnsi="Liberation Sans" w:eastAsia="Liberation Sans" w:cs="Liberation Sans"/>
                <w:color w:val="263442"/>
                <w:sz w:val="15"/>
              </w:rPr>
              <w:t>.</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candidateComponent</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Chemin ou package audité.</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plan2d/accrochage.ts</w:t>
            </w:r>
            <w:r>
              <w:rPr>
                <w:rFonts w:ascii="Liberation Sans" w:hAnsi="Liberation Sans" w:eastAsia="Liberation Sans" w:cs="Liberation Sans"/>
                <w:color w:val="263442"/>
                <w:sz w:val="15"/>
              </w:rPr>
              <w:t>.</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Tests positifs/négatifs.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TEST-022</w:t>
            </w:r>
            <w:r>
              <w:rPr>
                <w:rFonts w:ascii="Liberation Sans" w:hAnsi="Liberation Sans" w:eastAsia="Liberation Sans" w:cs="Liberation Sans"/>
                <w:color w:val="263442"/>
                <w:sz w:val="15"/>
              </w:rPr>
              <w:t>.</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evidenceId</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Trace vérifiable.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À produire.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status</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Degré d’avancement.</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Non vérifié.</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decisionId</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Arbitrage encore ouvert.</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DEC-09</w:t>
            </w:r>
            <w:r>
              <w:rPr>
                <w:rFonts w:ascii="Liberation Sans" w:hAnsi="Liberation Sans" w:eastAsia="Liberation Sans" w:cs="Liberation Sans"/>
                <w:color w:val="263442"/>
                <w:sz w:val="15"/>
              </w:rPr>
              <w:t>.</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riskId</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Risque et réponse.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RISK-02</w:t>
            </w:r>
            <w:r>
              <w:rPr>
                <w:rFonts w:ascii="Liberation Sans" w:hAnsi="Liberation Sans" w:eastAsia="Liberation Sans" w:cs="Liberation Sans"/>
                <w:color w:val="263442"/>
                <w:sz w:val="15"/>
              </w:rPr>
              <w:t>.</w:t>
            </w:r>
          </w:p>
        </w:tc>
      </w:tr>
    </w:tbl>
    <w:p>
      <w:pPr>
        <w:spacing w:after="40" w:before="0"/>
      </w:pPr>
    </w:p>
    <w:p>
      <w:pPr>
        <w:pStyle w:val="H2"/>
      </w:pPr>
      <w:r>
        <w:t>20.2. Matrice initiale de correspondance</w:t>
      </w:r>
    </w:p>
    <w:p>
      <w:pPr>
        <w:pStyle w:val="Body"/>
      </w:pPr>
      <w:r>
        <w:rPr>
          <w:b/>
          <w:i w:val="0"/>
        </w:rPr>
        <w:t>Cette matrice est une préparation documentaire : les preuves ne sont pas encore apportées.</w:t>
      </w:r>
      <w:r>
        <w:t xml:space="preserve"> Les chemins de composant proviennent de l’audit historique de la révision indiquée au début du document.</w:t>
      </w:r>
    </w:p>
    <w:tbl>
      <w:tblPr>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501"/>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Exigence(s)</w:t>
            </w:r>
          </w:p>
        </w:tc>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Objet</w:t>
            </w:r>
          </w:p>
        </w:tc>
        <w:tc>
          <w:tcPr>
            <w:tcW w:type="dxa" w:w="2301"/>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Composants Fadi candidats</w:t>
            </w:r>
          </w:p>
        </w:tc>
        <w:tc>
          <w:tcPr>
            <w:tcW w:type="dxa" w:w="2301"/>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Tests</w:t>
            </w:r>
          </w:p>
        </w:tc>
        <w:tc>
          <w:tcPr>
            <w:tcW w:type="dxa" w:w="1501"/>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Décision</w:t>
            </w:r>
          </w:p>
        </w:tc>
      </w:tr>
      <w:tr>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EX-001–007</w:t>
            </w:r>
          </w:p>
        </w:tc>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Studio, domaines et planches autonomes.</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4"/>
              </w:rPr>
              <w:t>apps/web/src/modules/atelier/</w:t>
            </w:r>
            <w:r>
              <w:rPr>
                <w:rFonts w:ascii="Liberation Sans" w:hAnsi="Liberation Sans" w:eastAsia="Liberation Sans" w:cs="Liberation Sans"/>
                <w:color w:val="263442"/>
                <w:sz w:val="14"/>
              </w:rPr>
              <w:t xml:space="preserve">, </w:t>
            </w:r>
            <w:r>
              <w:rPr>
                <w:rFonts w:ascii="Liberation Sans" w:hAnsi="Liberation Sans" w:eastAsia="Liberation Sans" w:cs="Liberation Sans"/>
                <w:b w:val="0"/>
                <w:color w:val="263442"/>
                <w:sz w:val="14"/>
              </w:rPr>
              <w:t>packages/atelier-model</w:t>
            </w:r>
            <w:r>
              <w:rPr>
                <w:rFonts w:ascii="Liberation Sans" w:hAnsi="Liberation Sans" w:eastAsia="Liberation Sans" w:cs="Liberation Sans"/>
                <w:color w:val="263442"/>
                <w:sz w:val="14"/>
              </w:rPr>
              <w:t>.</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001–003.</w:t>
            </w:r>
          </w:p>
        </w:tc>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DEC-01/02/03.</w:t>
            </w:r>
          </w:p>
        </w:tc>
      </w:tr>
      <w:tr>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EX-012–019</w:t>
            </w:r>
          </w:p>
        </w:tc>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Études, variantes, révisions, transaction.</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4"/>
              </w:rPr>
              <w:t>apps/api</w:t>
            </w:r>
            <w:r>
              <w:rPr>
                <w:rFonts w:ascii="Liberation Sans" w:hAnsi="Liberation Sans" w:eastAsia="Liberation Sans" w:cs="Liberation Sans"/>
                <w:color w:val="263442"/>
                <w:sz w:val="14"/>
              </w:rPr>
              <w:t xml:space="preserve">, </w:t>
            </w:r>
            <w:r>
              <w:rPr>
                <w:rFonts w:ascii="Liberation Sans" w:hAnsi="Liberation Sans" w:eastAsia="Liberation Sans" w:cs="Liberation Sans"/>
                <w:b w:val="0"/>
                <w:color w:val="263442"/>
                <w:sz w:val="14"/>
              </w:rPr>
              <w:t>packages/atelier-model</w:t>
            </w:r>
            <w:r>
              <w:rPr>
                <w:rFonts w:ascii="Liberation Sans" w:hAnsi="Liberation Sans" w:eastAsia="Liberation Sans" w:cs="Liberation Sans"/>
                <w:color w:val="263442"/>
                <w:sz w:val="14"/>
              </w:rPr>
              <w:t>, persistence existante.</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011–014, 034.</w:t>
            </w:r>
          </w:p>
        </w:tc>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DEC-03/12.</w:t>
            </w:r>
          </w:p>
        </w:tc>
      </w:tr>
      <w:tr>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EX-020–025</w:t>
            </w:r>
          </w:p>
        </w:tc>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Interactions et associations 2D/3D.</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4"/>
              </w:rPr>
              <w:t>nouveau/plan2d</w:t>
            </w:r>
            <w:r>
              <w:rPr>
                <w:rFonts w:ascii="Liberation Sans" w:hAnsi="Liberation Sans" w:eastAsia="Liberation Sans" w:cs="Liberation Sans"/>
                <w:color w:val="263442"/>
                <w:sz w:val="14"/>
              </w:rPr>
              <w:t xml:space="preserve">, </w:t>
            </w:r>
            <w:r>
              <w:rPr>
                <w:rFonts w:ascii="Liberation Sans" w:hAnsi="Liberation Sans" w:eastAsia="Liberation Sans" w:cs="Liberation Sans"/>
                <w:b w:val="0"/>
                <w:color w:val="263442"/>
                <w:sz w:val="14"/>
              </w:rPr>
              <w:t>nouveau/planche</w:t>
            </w:r>
            <w:r>
              <w:rPr>
                <w:rFonts w:ascii="Liberation Sans" w:hAnsi="Liberation Sans" w:eastAsia="Liberation Sans" w:cs="Liberation Sans"/>
                <w:color w:val="263442"/>
                <w:sz w:val="14"/>
              </w:rPr>
              <w:t>.</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001–010.</w:t>
            </w:r>
          </w:p>
        </w:tc>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DEC-01/02.</w:t>
            </w:r>
          </w:p>
        </w:tc>
      </w:tr>
      <w:tr>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EX-026–031</w:t>
            </w:r>
          </w:p>
        </w:tc>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Tool Registry et manifestes.</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4"/>
              </w:rPr>
              <w:t>catalogue-outils.ts</w:t>
            </w:r>
            <w:r>
              <w:rPr>
                <w:rFonts w:ascii="Liberation Sans" w:hAnsi="Liberation Sans" w:eastAsia="Liberation Sans" w:cs="Liberation Sans"/>
                <w:color w:val="263442"/>
                <w:sz w:val="14"/>
              </w:rPr>
              <w:t xml:space="preserve">, </w:t>
            </w:r>
            <w:r>
              <w:rPr>
                <w:rFonts w:ascii="Liberation Sans" w:hAnsi="Liberation Sans" w:eastAsia="Liberation Sans" w:cs="Liberation Sans"/>
                <w:b w:val="0"/>
                <w:color w:val="263442"/>
                <w:sz w:val="14"/>
              </w:rPr>
              <w:t>outils.ts</w:t>
            </w:r>
            <w:r>
              <w:rPr>
                <w:rFonts w:ascii="Liberation Sans" w:hAnsi="Liberation Sans" w:eastAsia="Liberation Sans" w:cs="Liberation Sans"/>
                <w:color w:val="263442"/>
                <w:sz w:val="14"/>
              </w:rPr>
              <w:t>, imports des machines.</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016–018.</w:t>
            </w:r>
          </w:p>
        </w:tc>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DEC-05/07.</w:t>
            </w:r>
          </w:p>
        </w:tc>
      </w:tr>
      <w:tr>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EX-032–037</w:t>
            </w:r>
          </w:p>
        </w:tc>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Tool Manager, UX et profils.</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Barres Atelier / Planche, service préférences.</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017–020.</w:t>
            </w:r>
          </w:p>
        </w:tc>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DEC-04/06.</w:t>
            </w:r>
          </w:p>
        </w:tc>
      </w:tr>
      <w:tr>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EX-038–044</w:t>
            </w:r>
          </w:p>
        </w:tc>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Chargement et hors ligne.</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4"/>
              </w:rPr>
              <w:t>apps/web/vite.config.ts</w:t>
            </w:r>
            <w:r>
              <w:rPr>
                <w:rFonts w:ascii="Liberation Sans" w:hAnsi="Liberation Sans" w:eastAsia="Liberation Sans" w:cs="Liberation Sans"/>
                <w:color w:val="263442"/>
                <w:sz w:val="14"/>
              </w:rPr>
              <w:t>, service worker, Dexie.</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016, 020, 036.</w:t>
            </w:r>
          </w:p>
        </w:tc>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DEC-07/14.</w:t>
            </w:r>
          </w:p>
        </w:tc>
      </w:tr>
      <w:tr>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EX-045–049</w:t>
            </w:r>
          </w:p>
        </w:tc>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Commandes, history, conflits.</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 xml:space="preserve">Bus de commandes, </w:t>
            </w:r>
            <w:r>
              <w:rPr>
                <w:rFonts w:ascii="Liberation Sans" w:hAnsi="Liberation Sans" w:eastAsia="Liberation Sans" w:cs="Liberation Sans"/>
                <w:b w:val="0"/>
                <w:color w:val="263442"/>
                <w:sz w:val="14"/>
              </w:rPr>
              <w:t>planche/historique.ts</w:t>
            </w:r>
            <w:r>
              <w:rPr>
                <w:rFonts w:ascii="Liberation Sans" w:hAnsi="Liberation Sans" w:eastAsia="Liberation Sans" w:cs="Liberation Sans"/>
                <w:color w:val="263442"/>
                <w:sz w:val="14"/>
              </w:rPr>
              <w:t xml:space="preserve">, </w:t>
            </w:r>
            <w:r>
              <w:rPr>
                <w:rFonts w:ascii="Liberation Sans" w:hAnsi="Liberation Sans" w:eastAsia="Liberation Sans" w:cs="Liberation Sans"/>
                <w:b w:val="0"/>
                <w:color w:val="263442"/>
                <w:sz w:val="14"/>
              </w:rPr>
              <w:t>delta.ts</w:t>
            </w:r>
            <w:r>
              <w:rPr>
                <w:rFonts w:ascii="Liberation Sans" w:hAnsi="Liberation Sans" w:eastAsia="Liberation Sans" w:cs="Liberation Sans"/>
                <w:color w:val="263442"/>
                <w:sz w:val="14"/>
              </w:rPr>
              <w:t>.</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011–014.</w:t>
            </w:r>
          </w:p>
        </w:tc>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DEC-12.</w:t>
            </w:r>
          </w:p>
        </w:tc>
      </w:tr>
      <w:tr>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EX-050–054</w:t>
            </w:r>
          </w:p>
        </w:tc>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Scène, invalidation, indexation.</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4"/>
              </w:rPr>
              <w:t>vue3d/scene3d.ts</w:t>
            </w:r>
            <w:r>
              <w:rPr>
                <w:rFonts w:ascii="Liberation Sans" w:hAnsi="Liberation Sans" w:eastAsia="Liberation Sans" w:cs="Liberation Sans"/>
                <w:color w:val="263442"/>
                <w:sz w:val="14"/>
              </w:rPr>
              <w:t xml:space="preserve">, </w:t>
            </w:r>
            <w:r>
              <w:rPr>
                <w:rFonts w:ascii="Liberation Sans" w:hAnsi="Liberation Sans" w:eastAsia="Liberation Sans" w:cs="Liberation Sans"/>
                <w:b w:val="0"/>
                <w:color w:val="263442"/>
                <w:sz w:val="14"/>
              </w:rPr>
              <w:t>plan2d/accrochage.ts</w:t>
            </w:r>
            <w:r>
              <w:rPr>
                <w:rFonts w:ascii="Liberation Sans" w:hAnsi="Liberation Sans" w:eastAsia="Liberation Sans" w:cs="Liberation Sans"/>
                <w:color w:val="263442"/>
                <w:sz w:val="14"/>
              </w:rPr>
              <w:t>.</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022–024.</w:t>
            </w:r>
          </w:p>
        </w:tc>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DEC-09/10.</w:t>
            </w:r>
          </w:p>
        </w:tc>
      </w:tr>
      <w:tr>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EX-055–058</w:t>
            </w:r>
          </w:p>
        </w:tc>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Rendu 2D/3D, LOD, qualité.</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4"/>
              </w:rPr>
              <w:t>plan2d/rendu.tsx</w:t>
            </w:r>
            <w:r>
              <w:rPr>
                <w:rFonts w:ascii="Liberation Sans" w:hAnsi="Liberation Sans" w:eastAsia="Liberation Sans" w:cs="Liberation Sans"/>
                <w:color w:val="263442"/>
                <w:sz w:val="14"/>
              </w:rPr>
              <w:t xml:space="preserve">, </w:t>
            </w:r>
            <w:r>
              <w:rPr>
                <w:rFonts w:ascii="Liberation Sans" w:hAnsi="Liberation Sans" w:eastAsia="Liberation Sans" w:cs="Liberation Sans"/>
                <w:b w:val="0"/>
                <w:color w:val="263442"/>
                <w:sz w:val="14"/>
              </w:rPr>
              <w:t>vue-planche.ts</w:t>
            </w:r>
            <w:r>
              <w:rPr>
                <w:rFonts w:ascii="Liberation Sans" w:hAnsi="Liberation Sans" w:eastAsia="Liberation Sans" w:cs="Liberation Sans"/>
                <w:color w:val="263442"/>
                <w:sz w:val="14"/>
              </w:rPr>
              <w:t xml:space="preserve">, </w:t>
            </w:r>
            <w:r>
              <w:rPr>
                <w:rFonts w:ascii="Liberation Sans" w:hAnsi="Liberation Sans" w:eastAsia="Liberation Sans" w:cs="Liberation Sans"/>
                <w:b w:val="0"/>
                <w:color w:val="263442"/>
                <w:sz w:val="14"/>
              </w:rPr>
              <w:t>scene3d.ts</w:t>
            </w:r>
            <w:r>
              <w:rPr>
                <w:rFonts w:ascii="Liberation Sans" w:hAnsi="Liberation Sans" w:eastAsia="Liberation Sans" w:cs="Liberation Sans"/>
                <w:color w:val="263442"/>
                <w:sz w:val="14"/>
              </w:rPr>
              <w:t>.</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023–026.</w:t>
            </w:r>
          </w:p>
        </w:tc>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DEC-08/10/17.</w:t>
            </w:r>
          </w:p>
        </w:tc>
      </w:tr>
      <w:tr>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EX-059–063</w:t>
            </w:r>
          </w:p>
        </w:tc>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Workers, WASM, résilience.</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4"/>
              </w:rPr>
              <w:t>exact/moteur-exact.ts</w:t>
            </w:r>
            <w:r>
              <w:rPr>
                <w:rFonts w:ascii="Liberation Sans" w:hAnsi="Liberation Sans" w:eastAsia="Liberation Sans" w:cs="Liberation Sans"/>
                <w:color w:val="263442"/>
                <w:sz w:val="14"/>
              </w:rPr>
              <w:t xml:space="preserve">, </w:t>
            </w:r>
            <w:r>
              <w:rPr>
                <w:rFonts w:ascii="Liberation Sans" w:hAnsi="Liberation Sans" w:eastAsia="Liberation Sans" w:cs="Liberation Sans"/>
                <w:b w:val="0"/>
                <w:color w:val="263442"/>
                <w:sz w:val="14"/>
              </w:rPr>
              <w:t>exact/exact.worker.ts</w:t>
            </w:r>
            <w:r>
              <w:rPr>
                <w:rFonts w:ascii="Liberation Sans" w:hAnsi="Liberation Sans" w:eastAsia="Liberation Sans" w:cs="Liberation Sans"/>
                <w:color w:val="263442"/>
                <w:sz w:val="14"/>
              </w:rPr>
              <w:t>.</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014–015, 037.</w:t>
            </w:r>
          </w:p>
        </w:tc>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DEC-11.</w:t>
            </w:r>
          </w:p>
        </w:tc>
      </w:tr>
      <w:tr>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EX-064–070</w:t>
            </w:r>
          </w:p>
        </w:tc>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BIM, exigences, coordination.</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4"/>
              </w:rPr>
              <w:t>packages/atelier-model</w:t>
            </w:r>
            <w:r>
              <w:rPr>
                <w:rFonts w:ascii="Liberation Sans" w:hAnsi="Liberation Sans" w:eastAsia="Liberation Sans" w:cs="Liberation Sans"/>
                <w:color w:val="263442"/>
                <w:sz w:val="14"/>
              </w:rPr>
              <w:t>, modules programmation/analyses.</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027–029.</w:t>
            </w:r>
          </w:p>
        </w:tc>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DEC-02/16.</w:t>
            </w:r>
          </w:p>
        </w:tc>
      </w:tr>
      <w:tr>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EX-071–073</w:t>
            </w:r>
          </w:p>
        </w:tc>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Rendus et traitements IA.</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Vue 3D et outils de présentation identifiés.</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032.</w:t>
            </w:r>
          </w:p>
        </w:tc>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DEC-15/17.</w:t>
            </w:r>
          </w:p>
        </w:tc>
      </w:tr>
      <w:tr>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EX-074–082</w:t>
            </w:r>
          </w:p>
        </w:tc>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Documentation, métrés, manifeste.</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4"/>
              </w:rPr>
              <w:t>packages/atelier-model/src/documents</w:t>
            </w:r>
            <w:r>
              <w:rPr>
                <w:rFonts w:ascii="Liberation Sans" w:hAnsi="Liberation Sans" w:eastAsia="Liberation Sans" w:cs="Liberation Sans"/>
                <w:color w:val="263442"/>
                <w:sz w:val="14"/>
              </w:rPr>
              <w:t>, Documents.</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009–010, 028, 030, 038.</w:t>
            </w:r>
          </w:p>
        </w:tc>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DEC-16.</w:t>
            </w:r>
          </w:p>
        </w:tc>
      </w:tr>
      <w:tr>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EX-083–086</w:t>
            </w:r>
          </w:p>
        </w:tc>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Workflow, rôles et observations.</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Collaboration et API.</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018, 029–031.</w:t>
            </w:r>
          </w:p>
        </w:tc>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DEC-16.</w:t>
            </w:r>
          </w:p>
        </w:tc>
      </w:tr>
      <w:tr>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EX-087–096</w:t>
            </w:r>
          </w:p>
        </w:tc>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API, sécurité, migration, récupération.</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4"/>
              </w:rPr>
              <w:t>apps/api</w:t>
            </w:r>
            <w:r>
              <w:rPr>
                <w:rFonts w:ascii="Liberation Sans" w:hAnsi="Liberation Sans" w:eastAsia="Liberation Sans" w:cs="Liberation Sans"/>
                <w:color w:val="263442"/>
                <w:sz w:val="14"/>
              </w:rPr>
              <w:t>, Docker, workflows CI et sauvegardes.</w:t>
            </w:r>
          </w:p>
        </w:tc>
        <w:tc>
          <w:tcPr>
            <w:tcW w:type="dxa" w:w="23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013, 034–036.</w:t>
            </w:r>
          </w:p>
        </w:tc>
        <w:tc>
          <w:tcPr>
            <w:tcW w:type="dxa" w:w="15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DEC-03/18.</w:t>
            </w:r>
          </w:p>
        </w:tc>
      </w:tr>
      <w:tr>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EX-097–101</w:t>
            </w:r>
          </w:p>
        </w:tc>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Benchmarks et preuves.</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4"/>
              </w:rPr>
              <w:t>scripts/bench</w:t>
            </w:r>
            <w:r>
              <w:rPr>
                <w:rFonts w:ascii="Liberation Sans" w:hAnsi="Liberation Sans" w:eastAsia="Liberation Sans" w:cs="Liberation Sans"/>
                <w:color w:val="263442"/>
                <w:sz w:val="14"/>
              </w:rPr>
              <w:t>, CI, tests du dépôt.</w:t>
            </w:r>
          </w:p>
        </w:tc>
        <w:tc>
          <w:tcPr>
            <w:tcW w:type="dxa" w:w="23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022–025, 037.</w:t>
            </w:r>
          </w:p>
        </w:tc>
        <w:tc>
          <w:tcPr>
            <w:tcW w:type="dxa" w:w="15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DEC-13.</w:t>
            </w:r>
          </w:p>
        </w:tc>
      </w:tr>
    </w:tbl>
    <w:p>
      <w:pPr>
        <w:spacing w:after="40" w:before="0"/>
      </w:pPr>
    </w:p>
    <w:p>
      <w:pPr>
        <w:pStyle w:val="Body"/>
      </w:pPr>
      <w:r>
        <w:rPr>
          <w:b/>
          <w:i w:val="0"/>
        </w:rPr>
        <w:t>EX-103 — Couverture des preuves.</w:t>
      </w:r>
      <w:r>
        <w:t xml:space="preserve"> Aucune exigence critique n’est marquée conforme si l’un des champs </w:t>
      </w:r>
      <w:r>
        <w:rPr>
          <w:rFonts w:ascii="Liberation Mono" w:hAnsi="Liberation Mono" w:eastAsia="Liberation Mono" w:cs="Liberation Mono"/>
          <w:b w:val="0"/>
          <w:color w:val="147D88"/>
          <w:sz w:val="15"/>
        </w:rPr>
        <w:t>test</w:t>
      </w:r>
      <w:r>
        <w:t xml:space="preserve">, </w:t>
      </w:r>
      <w:r>
        <w:rPr>
          <w:rFonts w:ascii="Liberation Mono" w:hAnsi="Liberation Mono" w:eastAsia="Liberation Mono" w:cs="Liberation Mono"/>
          <w:b w:val="0"/>
          <w:color w:val="147D88"/>
          <w:sz w:val="15"/>
        </w:rPr>
        <w:t>résultat</w:t>
      </w:r>
      <w:r>
        <w:t xml:space="preserve">, </w:t>
      </w:r>
      <w:r>
        <w:rPr>
          <w:rFonts w:ascii="Liberation Mono" w:hAnsi="Liberation Mono" w:eastAsia="Liberation Mono" w:cs="Liberation Mono"/>
          <w:b w:val="0"/>
          <w:color w:val="147D88"/>
          <w:sz w:val="15"/>
        </w:rPr>
        <w:t>build</w:t>
      </w:r>
      <w:r>
        <w:t xml:space="preserve">, </w:t>
      </w:r>
      <w:r>
        <w:rPr>
          <w:rFonts w:ascii="Liberation Mono" w:hAnsi="Liberation Mono" w:eastAsia="Liberation Mono" w:cs="Liberation Mono"/>
          <w:b w:val="0"/>
          <w:color w:val="147D88"/>
          <w:sz w:val="15"/>
        </w:rPr>
        <w:t>preuve</w:t>
      </w:r>
      <w:r>
        <w:t xml:space="preserve"> ou </w:t>
      </w:r>
      <w:r>
        <w:rPr>
          <w:rFonts w:ascii="Liberation Mono" w:hAnsi="Liberation Mono" w:eastAsia="Liberation Mono" w:cs="Liberation Mono"/>
          <w:b w:val="0"/>
          <w:color w:val="147D88"/>
          <w:sz w:val="15"/>
        </w:rPr>
        <w:t>décision applicable</w:t>
      </w:r>
      <w:r>
        <w:t xml:space="preserve"> est absent. Les exceptions sont documentées comme non applicables avec justification vérifiable.</w:t>
      </w:r>
    </w:p>
    <w:p>
      <w:pPr>
        <w:pStyle w:val="H2"/>
      </w:pPr>
      <w:r>
        <w:t>20.3. Structure des décisions d’architecture (ADR)</w:t>
      </w:r>
    </w:p>
    <w:p>
      <w:pPr>
        <w:pStyle w:val="Body"/>
      </w:pPr>
      <w:r>
        <w:t xml:space="preserve">Une fiche décision contient : </w:t>
      </w:r>
      <w:r>
        <w:rPr>
          <w:rFonts w:ascii="Liberation Mono" w:hAnsi="Liberation Mono" w:eastAsia="Liberation Mono" w:cs="Liberation Mono"/>
          <w:b w:val="0"/>
          <w:color w:val="147D88"/>
          <w:sz w:val="15"/>
        </w:rPr>
        <w:t>ADR-ID</w:t>
      </w:r>
      <w:r>
        <w:t>, problème, contexte et sources, exigence/risque, alternatives, critères éliminatoires, comparaison, mesures, conséquence données/sécurité, décision proposée, approbateur habilité, date, effets sur la migration, stratégie de retour arrière et réévaluation. Une décision ouverte n’est pas un choix provisoirement implémenté par défaut.</w:t>
      </w:r>
    </w:p>
    <w:p>
      <w:pPr>
        <w:pStyle w:val="Body"/>
      </w:pPr>
      <w:r>
        <w:rPr>
          <w:b/>
          <w:i w:val="0"/>
        </w:rPr>
        <w:t>EX-104 — Auditabilité.</w:t>
      </w:r>
      <w:r>
        <w:t xml:space="preserve"> La matrice doit permettre de remonter d’un défaut observé au test, au composant, à l’exigence et au principe produit ; inversement, elle doit montrer pour chaque principe les composants candidats et preuves correspondants.</w:t>
      </w:r>
    </w:p>
    <w:p>
      <w:pPr>
        <w:pStyle w:val="H1"/>
        <w:pageBreakBefore w:val="0"/>
        <w:spacing w:before="240"/>
        <w:pBdr>
          <w:bottom w:val="single" w:sz="12" w:space="6" w:color="147D88"/>
        </w:pBdr>
      </w:pPr>
      <w:r>
        <w:t>21. Analyse d’écarts, migration et plan de réalisation conditionnel</w:t>
      </w:r>
    </w:p>
    <w:p>
      <w:pPr>
        <w:pStyle w:val="H2"/>
      </w:pPr>
      <w:r>
        <w:t>21.1. Étapes de décision</w:t>
      </w:r>
    </w:p>
    <w:p>
      <w:pPr>
        <w:pStyle w:val="Body"/>
      </w:pPr>
      <w:r>
        <w:rPr>
          <w:b/>
          <w:i w:val="0"/>
        </w:rPr>
        <w:t>Étape A — Cible indépendante de l’existant.</w:t>
      </w:r>
      <w:r>
        <w:t xml:space="preserve"> Valider domaines, deux planches, sources de vérité, contrats, profils et invariants sans dégrader la cible en fonction de la forme actuelle du code.</w:t>
      </w:r>
    </w:p>
    <w:p>
      <w:pPr>
        <w:pStyle w:val="Body"/>
      </w:pPr>
      <w:r>
        <w:rPr>
          <w:b/>
          <w:i w:val="0"/>
        </w:rPr>
        <w:t>Étape B — Audit versionné.</w:t>
      </w:r>
      <w:r>
        <w:t xml:space="preserve"> Examiner le dépôt sur le commit retenu ; constater comportements, tests réellement exécutés, imports/bundles, transactions, caches, workers, données historiques et installations. Classer chaque exigence : </w:t>
      </w:r>
      <w:r>
        <w:rPr>
          <w:rFonts w:ascii="Liberation Mono" w:hAnsi="Liberation Mono" w:eastAsia="Liberation Mono" w:cs="Liberation Mono"/>
          <w:b w:val="0"/>
          <w:color w:val="147D88"/>
          <w:sz w:val="15"/>
        </w:rPr>
        <w:t>conforme vérifié</w:t>
      </w:r>
      <w:r>
        <w:t xml:space="preserve">, </w:t>
      </w:r>
      <w:r>
        <w:rPr>
          <w:rFonts w:ascii="Liberation Mono" w:hAnsi="Liberation Mono" w:eastAsia="Liberation Mono" w:cs="Liberation Mono"/>
          <w:b w:val="0"/>
          <w:color w:val="147D88"/>
          <w:sz w:val="15"/>
        </w:rPr>
        <w:t>partiel</w:t>
      </w:r>
      <w:r>
        <w:t xml:space="preserve">, </w:t>
      </w:r>
      <w:r>
        <w:rPr>
          <w:rFonts w:ascii="Liberation Mono" w:hAnsi="Liberation Mono" w:eastAsia="Liberation Mono" w:cs="Liberation Mono"/>
          <w:b w:val="0"/>
          <w:color w:val="147D88"/>
          <w:sz w:val="15"/>
        </w:rPr>
        <w:t>défectueux</w:t>
      </w:r>
      <w:r>
        <w:t xml:space="preserve">, </w:t>
      </w:r>
      <w:r>
        <w:rPr>
          <w:rFonts w:ascii="Liberation Mono" w:hAnsi="Liberation Mono" w:eastAsia="Liberation Mono" w:cs="Liberation Mono"/>
          <w:b w:val="0"/>
          <w:color w:val="147D88"/>
          <w:sz w:val="15"/>
        </w:rPr>
        <w:t>incompatible</w:t>
      </w:r>
      <w:r>
        <w:t xml:space="preserve">, </w:t>
      </w:r>
      <w:r>
        <w:rPr>
          <w:rFonts w:ascii="Liberation Mono" w:hAnsi="Liberation Mono" w:eastAsia="Liberation Mono" w:cs="Liberation Mono"/>
          <w:b w:val="0"/>
          <w:color w:val="147D88"/>
          <w:sz w:val="15"/>
        </w:rPr>
        <w:t>absent</w:t>
      </w:r>
      <w:r>
        <w:t xml:space="preserve">, </w:t>
      </w:r>
      <w:r>
        <w:rPr>
          <w:rFonts w:ascii="Liberation Mono" w:hAnsi="Liberation Mono" w:eastAsia="Liberation Mono" w:cs="Liberation Mono"/>
          <w:b w:val="0"/>
          <w:color w:val="147D88"/>
          <w:sz w:val="15"/>
        </w:rPr>
        <w:t>non vérifié</w:t>
      </w:r>
      <w:r>
        <w:t>.</w:t>
      </w:r>
    </w:p>
    <w:p>
      <w:pPr>
        <w:pStyle w:val="Body"/>
      </w:pPr>
      <w:r>
        <w:rPr>
          <w:b/>
          <w:i w:val="0"/>
        </w:rPr>
        <w:t>Étape C — Consolidation.</w:t>
      </w:r>
      <w:r>
        <w:t xml:space="preserve"> Qualifier les écarts et traitements possibles : conserver, compléter, corriger, isoler, remplacer ou retirer. Rattacher tests et preuves, risques et coûts, dépendances et migrations.</w:t>
      </w:r>
    </w:p>
    <w:p>
      <w:pPr>
        <w:pStyle w:val="Body"/>
      </w:pPr>
      <w:r>
        <w:rPr>
          <w:b/>
          <w:i w:val="0"/>
        </w:rPr>
        <w:t>Étape D — Architecture autorisée.</w:t>
      </w:r>
      <w:r>
        <w:t xml:space="preserve"> Décider composants retenus, interfaces, pilotes techniques, jalons de livraison, migrations, tests de bascule et rollback. </w:t>
      </w:r>
      <w:r>
        <w:rPr>
          <w:b/>
          <w:i w:val="0"/>
        </w:rPr>
        <w:t>Un POC approuvé n’autorise pas la mise en œuvre générale.</w:t>
      </w:r>
    </w:p>
    <w:p>
      <w:pPr>
        <w:pStyle w:val="H2"/>
      </w:pPr>
      <w:r>
        <w:t>21.2. Lots conditionnels et dépendances</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Priorité indicative</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Lot</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Résultat exigé avant acceptation</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P0 / A</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Modèles indépendants, associés, identité, propagation et transactions.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Trois parcours 2D/3D/associé sans double autorité.</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P0 / B</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Registry, Manager, profils, chargement réel et cache cohérent.</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Outils favoris accessibles sans tous les moteurs spécialisés.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P0 transversal</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Corpus, instrumentation et tests de non-régression.</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Mesures de référence et critères vérifiables avant optimisation.</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P1 / C</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Index spatial et projection de scène incrémentale.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Sélections exactes et réduction mesurée du coût sur scènes concernées.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P1 / D</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Workers, gestion de mémoire, tâches, invalidations et résilience.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Échec/reprise sans corruption ni fuite détectée selon critères retenus.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P1 / 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BIM, documentation, métrés, contrôles et workflow.</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Dossier cohérent approuvé et publié sur versions coordonnées.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P2 / F</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Rendu alternatif, accélérations supplémentaires, extensions/MCP si validés.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Mesures positives et respect intégral des permissions.</w:t>
            </w:r>
          </w:p>
        </w:tc>
      </w:tr>
    </w:tbl>
    <w:p>
      <w:pPr>
        <w:spacing w:after="40" w:before="0"/>
      </w:pPr>
    </w:p>
    <w:p>
      <w:pPr>
        <w:pStyle w:val="Body"/>
      </w:pPr>
      <w:r>
        <w:t>Les lots ne créent pas de droit d’implémentation. Chaque lot dépend de critères et d’une autorisation explicite. Un composant conforme n’est pas réécrit sans bénéfice prouvé.</w:t>
      </w:r>
    </w:p>
    <w:p>
      <w:pPr>
        <w:pStyle w:val="H2"/>
      </w:pPr>
      <w:r>
        <w:t>21.3. Principaux risques de livraison</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Risque</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Gravité initiale</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Mesure de maîtrise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RISK-01 — Double autorité 2D/3D</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Critique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Protocole d’associations, objets canoniques, tests 001–010.</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RISK-02 — Snapping différent après indexation</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Critique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Oracle de géométrie + tests densité et ambiguïtés.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RISK-03 — Commande rejouée ou conflit perdu</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Critique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Idempotence, transaction et E2E concurrent.</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RISK-04 — Publication sur mauvais contenu</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Critique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Manifeste immuable, empreintes, garde d’approbation.</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RISK-05 — Profil personnalisable mais tous moteurs chargés</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Élevée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Contrôle bundles/service worker et mesure cache froid.</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RISK-06 — Memory leak OCCT/Three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Élevée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Bench fermeture/réouverture + limites/concurrence.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RISK-07 — Extension/MCP contournant les droits</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Critique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Même bus de commandes et validation serveur.</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RISK-08 — Migration détruisant références et historique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Critique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Corpus historique, dry-run, sauvegarde restaurable, rollback.</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RISK-09 — Mesures GPU non transférables</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Moyenne/élevée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Profils appareils réels + séparation CPU/GPU.</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RISK-10 — Formats annoncés au-delà de la couverture</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Élevée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Matrice par entité/sens, rapports de perte et tests aller-retour.</w:t>
            </w:r>
          </w:p>
        </w:tc>
      </w:tr>
    </w:tbl>
    <w:p>
      <w:pPr>
        <w:spacing w:after="40" w:before="0"/>
      </w:pPr>
    </w:p>
    <w:p>
      <w:pPr>
        <w:pStyle w:val="H2"/>
      </w:pPr>
      <w:r>
        <w:t>21.4. Définition de prêt à développer / prêt à livrer</w:t>
      </w:r>
    </w:p>
    <w:p>
      <w:pPr>
        <w:pStyle w:val="Body"/>
      </w:pPr>
      <w:r>
        <w:t xml:space="preserve">Un sous-ensemble est </w:t>
      </w:r>
      <w:r>
        <w:rPr>
          <w:b/>
          <w:i w:val="0"/>
        </w:rPr>
        <w:t>prêt à développer</w:t>
      </w:r>
      <w:r>
        <w:t xml:space="preserve"> lorsque : (a) propriétaire du domaine identifié ; (b) invariants et contrats complets ; (c) dépendances et interfaces résolues ; (d) décision d’architecture et de sécurité enregistrée ; (e) critères de test et sources de vérité définis ; (f) migrations envisagées. Il est </w:t>
      </w:r>
      <w:r>
        <w:rPr>
          <w:b/>
          <w:i w:val="0"/>
        </w:rPr>
        <w:t>prêt à livrer</w:t>
      </w:r>
      <w:r>
        <w:t xml:space="preserve"> lorsqu’un build précis a passé ses scénarios, tests de non-régression, mesures et procédures de reprise, et que ses décisions de dérogation éventuelles sont approuvées.</w:t>
      </w:r>
    </w:p>
    <w:p>
      <w:pPr>
        <w:pStyle w:val="Body"/>
      </w:pPr>
      <w:r>
        <w:t>Aucune capacité marquée « à tester » ou « planifiée » ne doit être présentée comme déjà disponible dans le produit.</w:t>
      </w:r>
    </w:p>
    <w:p>
      <w:pPr>
        <w:pStyle w:val="H1"/>
        <w:pageBreakBefore/>
        <w:spacing w:before="240"/>
        <w:pBdr>
          <w:bottom w:val="single" w:sz="12" w:space="6" w:color="147D88"/>
        </w:pBdr>
      </w:pPr>
      <w:r>
        <w:t>Annexe A. État observé de Fadi — non normatif</w:t>
      </w:r>
    </w:p>
    <w:p>
      <w:pPr>
        <w:pStyle w:val="Body"/>
      </w:pPr>
      <w:r>
        <w:rPr>
          <w:b/>
          <w:i w:val="0"/>
        </w:rPr>
        <w:t>Référence d’observation :</w:t>
      </w:r>
      <w:r>
        <w:t xml:space="preserve"> </w:t>
      </w:r>
      <w:r>
        <w:rPr>
          <w:rFonts w:ascii="Liberation Mono" w:hAnsi="Liberation Mono" w:eastAsia="Liberation Mono" w:cs="Liberation Mono"/>
          <w:b w:val="0"/>
          <w:color w:val="147D88"/>
          <w:sz w:val="15"/>
        </w:rPr>
        <w:t>RachEma-ux/Fadi</w:t>
      </w:r>
      <w:r>
        <w:t xml:space="preserve">, </w:t>
      </w:r>
      <w:r>
        <w:rPr>
          <w:rFonts w:ascii="Liberation Mono" w:hAnsi="Liberation Mono" w:eastAsia="Liberation Mono" w:cs="Liberation Mono"/>
          <w:b w:val="0"/>
          <w:color w:val="147D88"/>
          <w:sz w:val="15"/>
        </w:rPr>
        <w:t>main</w:t>
      </w:r>
      <w:r>
        <w:t xml:space="preserve">, commit </w:t>
      </w:r>
      <w:r>
        <w:rPr>
          <w:rFonts w:ascii="Liberation Mono" w:hAnsi="Liberation Mono" w:eastAsia="Liberation Mono" w:cs="Liberation Mono"/>
          <w:b w:val="0"/>
          <w:color w:val="147D88"/>
          <w:sz w:val="15"/>
        </w:rPr>
        <w:t>3bcda9296eaa0a0376ca5d2279dd71f52a75184b</w:t>
      </w:r>
      <w:r>
        <w:t xml:space="preserve">, 14 octobre 2026. Cette annexe </w:t>
      </w:r>
      <w:r>
        <w:rPr>
          <w:b/>
          <w:i w:val="0"/>
        </w:rPr>
        <w:t>réutilise l’audit documentaire antérieur</w:t>
      </w:r>
      <w:r>
        <w:t>, sans nouvel essai d’exécution ni nouvelle mesure du déploiement. La conformité du Studio ne s’en déduit pas.</w:t>
      </w:r>
    </w:p>
    <w:tbl>
      <w:tblPr>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601"/>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ID</w:t>
            </w:r>
          </w:p>
        </w:tc>
        <w:tc>
          <w:tcPr>
            <w:tcW w:type="dxa" w:w="24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Composant/fonction</w:t>
            </w:r>
          </w:p>
        </w:tc>
        <w:tc>
          <w:tcPr>
            <w:tcW w:type="dxa" w:w="3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Constat borné au commit audité</w:t>
            </w:r>
          </w:p>
        </w:tc>
        <w:tc>
          <w:tcPr>
            <w:tcW w:type="dxa" w:w="255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4"/>
              </w:rPr>
              <w:t>Conséquence d’architecture</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OBS-01</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4"/>
              </w:rPr>
              <w:t>plan2d/Plan2D.tsx</w:t>
            </w:r>
            <w:r>
              <w:rPr>
                <w:rFonts w:ascii="Liberation Sans" w:hAnsi="Liberation Sans" w:eastAsia="Liberation Sans" w:cs="Liberation Sans"/>
                <w:color w:val="263442"/>
                <w:sz w:val="14"/>
              </w:rPr>
              <w:t xml:space="preserve">, </w:t>
            </w:r>
            <w:r>
              <w:rPr>
                <w:rFonts w:ascii="Liberation Sans" w:hAnsi="Liberation Sans" w:eastAsia="Liberation Sans" w:cs="Liberation Sans"/>
                <w:b w:val="0"/>
                <w:color w:val="263442"/>
                <w:sz w:val="14"/>
              </w:rPr>
              <w:t>rendu.tsx</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Plan 2D rendu via SVG/React.</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Candidat pour document 2D autonome, sous tests.</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OBS-02</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4"/>
              </w:rPr>
              <w:t>plan2d/accrochage.ts</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Recherches sur collections de segments, intersections par paires proches.</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Index spatial candidat, avec non-régression.</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OBS-03</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4"/>
              </w:rPr>
              <w:t>vue3d/scene3d.ts</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Three.js WebGL2 et WebGPU optionnel avec repli ; batching et rendu à la demande.</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Préserver acquis et instrumenter coûts.</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OBS-04</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4"/>
              </w:rPr>
              <w:t>scene3d.ts</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 xml:space="preserve">Cache par objet et reconstruction de lots en </w:t>
            </w:r>
            <w:r>
              <w:rPr>
                <w:rFonts w:ascii="Liberation Sans" w:hAnsi="Liberation Sans" w:eastAsia="Liberation Sans" w:cs="Liberation Sans"/>
                <w:b w:val="0"/>
                <w:color w:val="263442"/>
                <w:sz w:val="14"/>
              </w:rPr>
              <w:t>majModele()</w:t>
            </w:r>
            <w:r>
              <w:rPr>
                <w:rFonts w:ascii="Liberation Sans" w:hAnsi="Liberation Sans" w:eastAsia="Liberation Sans" w:cs="Liberation Sans"/>
                <w:color w:val="263442"/>
                <w:sz w:val="14"/>
              </w:rPr>
              <w:t>.</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Mises à jour incrémentales à instruire.</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OBS-05</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4"/>
              </w:rPr>
              <w:t>planche/vue-planche.ts</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Vue Planche Three.js et couches de sélection, annotations, aperçu ; rendu sur demande.</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Candidat Planche 3D, sous conformité des objets.</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OBS-06</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4"/>
              </w:rPr>
              <w:t>planche-model/src/outils/index.ts</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Familles de machines importées statiquement.</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Démontrer un vrai chargement sélectif.</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OBS-07</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4"/>
              </w:rPr>
              <w:t>exact/moteur-exact.ts</w:t>
            </w:r>
            <w:r>
              <w:rPr>
                <w:rFonts w:ascii="Liberation Sans" w:hAnsi="Liberation Sans" w:eastAsia="Liberation Sans" w:cs="Liberation Sans"/>
                <w:color w:val="263442"/>
                <w:sz w:val="14"/>
              </w:rPr>
              <w:t xml:space="preserve"> et worker</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OCCT/WASM sur worker persistant, chargé au premier usage ; récupération d’erreur limitée.</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Ordonnanceur, mémoire et redémarrage à qualifier.</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OBS-08</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4"/>
              </w:rPr>
              <w:t>documents/generation-client.ts</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Génération documentaire via worker dédié.</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Réutiliser après audit des formats et versions.</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OBS-09</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4"/>
              </w:rPr>
              <w:t>planche/historique.ts</w:t>
            </w:r>
            <w:r>
              <w:rPr>
                <w:rFonts w:ascii="Liberation Sans" w:hAnsi="Liberation Sans" w:eastAsia="Liberation Sans" w:cs="Liberation Sans"/>
                <w:color w:val="263442"/>
                <w:sz w:val="14"/>
              </w:rPr>
              <w:t xml:space="preserve">, </w:t>
            </w:r>
            <w:r>
              <w:rPr>
                <w:rFonts w:ascii="Liberation Sans" w:hAnsi="Liberation Sans" w:eastAsia="Liberation Sans" w:cs="Liberation Sans"/>
                <w:b w:val="0"/>
                <w:color w:val="263442"/>
                <w:sz w:val="14"/>
              </w:rPr>
              <w:t>planche-model/src/delta.ts</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Historique local et deltas, en plus des commandes Atelier.</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Contrat d’historique hybride plutôt qu’une réécriture imposée.</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OBS-10</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4"/>
              </w:rPr>
              <w:t>apps/web/vite.config.ts</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Précache service worker de nombreux chunks du build, malgré imports différés.</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Repenser politique cache et coût réseau initial.</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OBS-11</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Catalogues Planche/Atelier</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 xml:space="preserve">Inventaire antérieur : 47 outils Planche, 111 entrées palette Atelier dont 110 IDs distincts ; collision </w:t>
            </w:r>
            <w:r>
              <w:rPr>
                <w:rFonts w:ascii="Liberation Sans" w:hAnsi="Liberation Sans" w:eastAsia="Liberation Sans" w:cs="Liberation Sans"/>
                <w:b w:val="0"/>
                <w:color w:val="263442"/>
                <w:sz w:val="14"/>
              </w:rPr>
              <w:t>echelle</w:t>
            </w:r>
            <w:r>
              <w:rPr>
                <w:rFonts w:ascii="Liberation Sans" w:hAnsi="Liberation Sans" w:eastAsia="Liberation Sans" w:cs="Liberation Sans"/>
                <w:color w:val="263442"/>
                <w:sz w:val="14"/>
              </w:rPr>
              <w:t>.</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Registre à nettoyer, inventaire ≠ outils tous utilisables.</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OBS-12</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4"/>
              </w:rPr>
              <w:t>docs/atelier/p0-mesures.md</w:t>
            </w:r>
            <w:r>
              <w:rPr>
                <w:rFonts w:ascii="Liberation Sans" w:hAnsi="Liberation Sans" w:eastAsia="Liberation Sans" w:cs="Liberation Sans"/>
                <w:color w:val="263442"/>
                <w:sz w:val="14"/>
              </w:rPr>
              <w:t xml:space="preserve"> et </w:t>
            </w:r>
            <w:r>
              <w:rPr>
                <w:rFonts w:ascii="Liberation Sans" w:hAnsi="Liberation Sans" w:eastAsia="Liberation Sans" w:cs="Liberation Sans"/>
                <w:b w:val="0"/>
                <w:color w:val="263442"/>
                <w:sz w:val="14"/>
              </w:rPr>
              <w:t>p2-mesures.md</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Benchmarks Three.js/OCCT, souvent SwiftShader ; résultat historique 1 199 → 24 appels sur banc.</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Mesurer les charges réelles et GPU physiques.</w:t>
            </w:r>
          </w:p>
        </w:tc>
      </w:tr>
      <w:tr>
        <w:tc>
          <w:tcPr>
            <w:tcW w:type="dxa" w:w="1601"/>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4"/>
              </w:rPr>
              <w:t>OBS-13</w:t>
            </w:r>
          </w:p>
        </w:tc>
        <w:tc>
          <w:tcPr>
            <w:tcW w:type="dxa" w:w="24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Dépôt monorepo</w:t>
            </w:r>
          </w:p>
        </w:tc>
        <w:tc>
          <w:tcPr>
            <w:tcW w:type="dxa" w:w="3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Frontend React/TypeScript/Vite ; serveur Express et PostgreSQL/PostGIS ; paquets géométriques spécialisés.</w:t>
            </w:r>
          </w:p>
        </w:tc>
        <w:tc>
          <w:tcPr>
            <w:tcW w:type="dxa" w:w="255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4"/>
              </w:rPr>
              <w:t>Infrastructure plausible à réutiliser, avec preuves.</w:t>
            </w:r>
          </w:p>
        </w:tc>
      </w:tr>
      <w:tr>
        <w:tc>
          <w:tcPr>
            <w:tcW w:type="dxa" w:w="1601"/>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4"/>
              </w:rPr>
              <w:t>OBS-14</w:t>
            </w:r>
          </w:p>
        </w:tc>
        <w:tc>
          <w:tcPr>
            <w:tcW w:type="dxa" w:w="24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Bus de commandes / documents</w:t>
            </w:r>
          </w:p>
        </w:tc>
        <w:tc>
          <w:tcPr>
            <w:tcW w:type="dxa" w:w="3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Révisions, historique, versions, import/export présents dans le code audité.</w:t>
            </w:r>
          </w:p>
        </w:tc>
        <w:tc>
          <w:tcPr>
            <w:tcW w:type="dxa" w:w="255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4"/>
              </w:rPr>
              <w:t>Adapter les contrats sans dupliquer les services.</w:t>
            </w:r>
          </w:p>
        </w:tc>
      </w:tr>
    </w:tbl>
    <w:p>
      <w:pPr>
        <w:spacing w:after="40" w:before="0"/>
      </w:pPr>
    </w:p>
    <w:p>
      <w:pPr>
        <w:pStyle w:val="Body"/>
      </w:pPr>
      <w:r>
        <w:rPr>
          <w:b/>
          <w:i w:val="0"/>
        </w:rPr>
        <w:t>Limite de preuve :</w:t>
      </w:r>
      <w:r>
        <w:t xml:space="preserve"> les chiffres d’inventaire mesurent des déclarations et non le nombre de machines indépendantes validées de bout en bout. Les benchmarks cités sont ceux documentés dans le dépôt et n’ont pas été reproduits ici. Les liens de sources figurent à l’annexe D.</w:t>
      </w:r>
    </w:p>
    <w:p>
      <w:pPr>
        <w:pStyle w:val="H1"/>
        <w:pageBreakBefore/>
        <w:spacing w:before="240"/>
        <w:pBdr>
          <w:bottom w:val="single" w:sz="12" w:space="6" w:color="147D88"/>
        </w:pBdr>
      </w:pPr>
      <w:r>
        <w:t>Annexe B. Registre des décisions ouvertes</w:t>
      </w:r>
    </w:p>
    <w:p>
      <w:pPr>
        <w:pStyle w:val="Body"/>
      </w:pPr>
      <w:r>
        <w:t>Les 18 décisions du concept V2 sont conservées. Elles doivent être instruites dans un ADR identifié, sur des preuves vérifiables, avant l’engagement des lots concernés. Aucun choix n’est tacitement approuvé.</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Décision</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Question</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Preuve à réunir</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DEC-01</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Modèle physique du dessin 2D autonome et son stockage.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Schéma, création sans 3D, sauvegarde/reprise, migration.</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DEC-02</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Sémantique des associations et références topologiques 2D/3D.</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Identités, propagation, ambiguïtés, conflits et tests.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DEC-03</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Définition Étude / Variante / Révision et migration des projets.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Entités, isolation, historique, restauration.</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DEC-04</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Profils standard, métier, personnels et partage d’équipe.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UX, permissions, export/import, synchronisation.</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DEC-05</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Support et gouvernance des manifests Registry.</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Validation au build, offline, compatibilité et confiance.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DEC-06</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API et limites du Tool Manager.</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Séquence activation/désactivation, événements, tests.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DEC-07</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Granularité des chunks, préchargement et cache.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Bundle analysis, première action, réseau et mémoire.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DEC-08</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Renderer 2D cible et seuil d’optimisation/bascule.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Fidélité SVG/Canvas/GPU, GPU réel et accessibilité.</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DEC-09</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Structure de l’index spatial et algorithme de snapping.</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Résultats exacts, densités, insertion/suppression et p95.</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DEC-10</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Invalidation partielle de la scène 3D.</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Tables de picking, cas hôtes/dépendances, benchmarks.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DEC-11</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Gestion des workers, mémoire et OCCT.</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Crash, temps, instances, quotas, reprise.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DEC-12</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Historique et undo/redo entre sous-modèles.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Deltas, commandes, révisions et conflits réels.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DEC-13</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Appareils, profils de charge et budgets de performance.</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Jeux S1–S7 et limites d’acceptation validées.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DEC-14</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Profil et stratégie des outils utilisables hors ligne.</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Disponibilité, quota/cache, contrat versionné, reconnection.</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DEC-15</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Extensions et adaptateur MCP, si retenus.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Risques, consentement, droits, schémas et confirmations.</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DEC-16</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Manifeste de publication multi-sources.</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Empreintes, versions coordonnées, statut des approbations.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DEC-17</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Qualité adaptative et concessions graphiques admises.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Comparaison visuelle et non-régression géométrique.</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DEC-18</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Réutilisation effective des moteurs et services Fadi.</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Audit sur commit de livraison, tests, coûts, licences.</w:t>
            </w:r>
          </w:p>
        </w:tc>
      </w:tr>
    </w:tbl>
    <w:p>
      <w:pPr>
        <w:spacing w:after="40" w:before="0"/>
      </w:pPr>
    </w:p>
    <w:p>
      <w:pPr>
        <w:pStyle w:val="H1"/>
        <w:pageBreakBefore/>
        <w:spacing w:before="240"/>
        <w:pBdr>
          <w:bottom w:val="single" w:sz="12" w:space="6" w:color="147D88"/>
        </w:pBdr>
      </w:pPr>
      <w:r>
        <w:t>Annexe C. Fiches d’outils détaillées — exemples de contrats</w:t>
      </w:r>
    </w:p>
    <w:p>
      <w:pPr>
        <w:pStyle w:val="Body"/>
      </w:pPr>
      <w:r>
        <w:t xml:space="preserve">Ces fiches démontrent le niveau de précision </w:t>
      </w:r>
      <w:r>
        <w:rPr>
          <w:b/>
          <w:i w:val="0"/>
        </w:rPr>
        <w:t>attendu pour chaque outil</w:t>
      </w:r>
      <w:r>
        <w:t>, sans prétendre couvrir ni valider individuellement tous les outils de la palette actuelle. Le registre exhaustif 47 + 111 entrées issu de l’audit est une source séparée à réconcilier lors de DEC-05 et DEC-18.</w:t>
      </w:r>
    </w:p>
    <w:p>
      <w:pPr>
        <w:pStyle w:val="H2"/>
      </w:pPr>
      <w:r>
        <w:t xml:space="preserve">C.1. Ligne en Planche 2D — </w:t>
      </w:r>
      <w:r>
        <w:rPr>
          <w:rFonts w:ascii="Liberation Mono" w:hAnsi="Liberation Mono" w:eastAsia="Liberation Mono" w:cs="Liberation Mono"/>
          <w:b w:val="0"/>
          <w:color w:val="147D88"/>
          <w:sz w:val="15"/>
        </w:rPr>
        <w:t>studio.draw.line2d</w:t>
      </w:r>
    </w:p>
    <w:tbl>
      <w:tblPr>
        <w:tblW w:type="auto" w:w="0"/>
        <w:jc w:val="center"/>
        <w:tblLayout w:type="fixed"/>
        <w:tblLook w:firstColumn="1" w:firstRow="1" w:lastColumn="0" w:lastRow="0" w:noHBand="0" w:noVBand="1" w:val="04A0"/>
      </w:tblPr>
      <w:tblGrid>
        <w:gridCol w:w="5003"/>
        <w:gridCol w:w="5003"/>
      </w:tblGrid>
      <w:tr>
        <w:trPr>
          <w:tblHeader w:val="true"/>
        </w:trPr>
        <w:tc>
          <w:tcPr>
            <w:tcW w:type="dxa" w:w="27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Champ</w:t>
            </w:r>
          </w:p>
        </w:tc>
        <w:tc>
          <w:tcPr>
            <w:tcW w:type="dxa" w:w="7305"/>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Contrat proposé</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But</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Créer un segment géométrique plan, sans sémantique de mur.</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Contexte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Planche 2D active ; document éditable ; calque autorisé.</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Entrée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Premier et second points dans le repère du document ou coordonnée/longueur/angle saisis ; unités.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Geste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PointerDown / pointerMove / saisie numérique / valider / Échap.</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Preview</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Segment temporaire non enregistré ; accrochage avec priorité et tolérance de référence.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Validation</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Points finis, longueur minimale selon contrat, permissions et révision.</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Écriture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 xml:space="preserve">Commande </w:t>
            </w:r>
            <w:r>
              <w:rPr>
                <w:rFonts w:ascii="Liberation Sans" w:hAnsi="Liberation Sans" w:eastAsia="Liberation Sans" w:cs="Liberation Sans"/>
                <w:b w:val="0"/>
                <w:color w:val="263442"/>
                <w:sz w:val="15"/>
              </w:rPr>
              <w:t>drawing.createLine</w:t>
            </w:r>
            <w:r>
              <w:rPr>
                <w:rFonts w:ascii="Liberation Sans" w:hAnsi="Liberation Sans" w:eastAsia="Liberation Sans" w:cs="Liberation Sans"/>
                <w:color w:val="263442"/>
                <w:sz w:val="15"/>
              </w:rPr>
              <w:t xml:space="preserve"> idempotente ; nouvel </w:t>
            </w:r>
            <w:r>
              <w:rPr>
                <w:rFonts w:ascii="Liberation Sans" w:hAnsi="Liberation Sans" w:eastAsia="Liberation Sans" w:cs="Liberation Sans"/>
                <w:b w:val="0"/>
                <w:color w:val="263442"/>
                <w:sz w:val="15"/>
              </w:rPr>
              <w:t>objectId</w:t>
            </w:r>
            <w:r>
              <w:rPr>
                <w:rFonts w:ascii="Liberation Sans" w:hAnsi="Liberation Sans" w:eastAsia="Liberation Sans" w:cs="Liberation Sans"/>
                <w:color w:val="263442"/>
                <w:sz w:val="15"/>
              </w:rPr>
              <w:t>.</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Dérivés</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Index spatial local, dessin, cotations associées et vues dépendantes.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Annulation</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Retirer la commande de manière compatible avec historique et concurrence.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Erreurs</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Calque verrouillé, coordonnée invalide, dessin non autorisé, version dépassée.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Tests</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TEST-001, TEST-022 et cas limites d’unités/coordonnées.</w:t>
            </w:r>
          </w:p>
        </w:tc>
      </w:tr>
    </w:tbl>
    <w:p>
      <w:pPr>
        <w:spacing w:after="40" w:before="0"/>
      </w:pPr>
    </w:p>
    <w:p>
      <w:pPr>
        <w:pStyle w:val="H2"/>
      </w:pPr>
      <w:r>
        <w:t xml:space="preserve">C.2. Mur architectural associé — </w:t>
      </w:r>
      <w:r>
        <w:rPr>
          <w:rFonts w:ascii="Liberation Mono" w:hAnsi="Liberation Mono" w:eastAsia="Liberation Mono" w:cs="Liberation Mono"/>
          <w:b w:val="0"/>
          <w:color w:val="147D88"/>
          <w:sz w:val="15"/>
        </w:rPr>
        <w:t>studio.arch.wall</w:t>
      </w:r>
    </w:p>
    <w:tbl>
      <w:tblPr>
        <w:tblW w:type="auto" w:w="0"/>
        <w:jc w:val="center"/>
        <w:tblLayout w:type="fixed"/>
        <w:tblLook w:firstColumn="1" w:firstRow="1" w:lastColumn="0" w:lastRow="0" w:noHBand="0" w:noVBand="1" w:val="04A0"/>
      </w:tblPr>
      <w:tblGrid>
        <w:gridCol w:w="5003"/>
        <w:gridCol w:w="5003"/>
      </w:tblGrid>
      <w:tr>
        <w:trPr>
          <w:tblHeader w:val="true"/>
        </w:trPr>
        <w:tc>
          <w:tcPr>
            <w:tcW w:type="dxa" w:w="27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Champ</w:t>
            </w:r>
          </w:p>
        </w:tc>
        <w:tc>
          <w:tcPr>
            <w:tcW w:type="dxa" w:w="7305"/>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Contrat proposé</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But</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Créer ou éditer un mur porteur d’une définition architecturale commune.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Contexte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Planche 2D ou 3D, niveau/repère déclarés, autorisation de conception.</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Entrée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Trajectoire, épaisseur et côté de référence, hauteur ou rattachement, type et composition si connus.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Preview</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Axe, enveloppe et relation aux objets hôtes/ouverts, sans écriture persistante.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Validation</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Géométrie et paramètres valides, jonctions, hôtes, ouvertures et révision.</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Écriture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Objet sémantique stable ; commande créant ou modifiant paramètres et dépendances.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Propagation</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2D/3D, métadonnées BIM concernées, métrés, coupes, éventuels constats périmés.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Risque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Ouverture hors support, mur supprimé avec dépendants, épaisseur inversant implantation.</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Annulation</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Réévaluation des dépendances dans la révision courante.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Tests</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TEST-003, 008–014 et TEST-027.</w:t>
            </w:r>
          </w:p>
        </w:tc>
      </w:tr>
    </w:tbl>
    <w:p>
      <w:pPr>
        <w:spacing w:after="40" w:before="0"/>
      </w:pPr>
    </w:p>
    <w:p>
      <w:pPr>
        <w:pStyle w:val="H2"/>
      </w:pPr>
      <w:r>
        <w:t xml:space="preserve">C.3. Pousser/Tirer en Planche 3D — </w:t>
      </w:r>
      <w:r>
        <w:rPr>
          <w:rFonts w:ascii="Liberation Mono" w:hAnsi="Liberation Mono" w:eastAsia="Liberation Mono" w:cs="Liberation Mono"/>
          <w:b w:val="0"/>
          <w:color w:val="147D88"/>
          <w:sz w:val="15"/>
        </w:rPr>
        <w:t>studio.model.pushpull</w:t>
      </w:r>
    </w:p>
    <w:tbl>
      <w:tblPr>
        <w:tblW w:type="auto" w:w="0"/>
        <w:jc w:val="center"/>
        <w:tblLayout w:type="fixed"/>
        <w:tblLook w:firstColumn="1" w:firstRow="1" w:lastColumn="0" w:lastRow="0" w:noHBand="0" w:noVBand="1" w:val="04A0"/>
      </w:tblPr>
      <w:tblGrid>
        <w:gridCol w:w="5003"/>
        <w:gridCol w:w="5003"/>
      </w:tblGrid>
      <w:tr>
        <w:trPr>
          <w:tblHeader w:val="true"/>
        </w:trPr>
        <w:tc>
          <w:tcPr>
            <w:tcW w:type="dxa" w:w="27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Champ</w:t>
            </w:r>
          </w:p>
        </w:tc>
        <w:tc>
          <w:tcPr>
            <w:tcW w:type="dxa" w:w="7305"/>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Contrat proposé</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But</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Modifier une surface/volume libre ou un objet architectural lorsque le contrat l’autorise.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Contexte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Planche 3D, face éligible, repère et orientation connus.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Entrée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Référence de face, direction, distance signée, mode géométrie libre/associée.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Preview</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Déplacement de face en surimpression ; géométrie exacte différée si coûteuse.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Validation</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Face encore présente et identifiable ; contraintes topologiques, collisions et options d’hôte.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Écriture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Commande et delta topologique, correspondances d’arêtes/faces quand vérifiables.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Invalidation</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Meshes et index affectés, annotations topologiques à résoudre si besoin.</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Tests</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TEST-002, 007, 023, 024 et non-régression de volume.</w:t>
            </w:r>
          </w:p>
        </w:tc>
      </w:tr>
    </w:tbl>
    <w:p>
      <w:pPr>
        <w:spacing w:after="40" w:before="0"/>
      </w:pPr>
    </w:p>
    <w:p>
      <w:pPr>
        <w:pStyle w:val="H2"/>
      </w:pPr>
      <w:r>
        <w:t xml:space="preserve">C.4. Contrôle BIM — </w:t>
      </w:r>
      <w:r>
        <w:rPr>
          <w:rFonts w:ascii="Liberation Mono" w:hAnsi="Liberation Mono" w:eastAsia="Liberation Mono" w:cs="Liberation Mono"/>
          <w:b w:val="0"/>
          <w:color w:val="147D88"/>
          <w:sz w:val="15"/>
        </w:rPr>
        <w:t>studio.bim.runCheck</w:t>
      </w:r>
    </w:p>
    <w:tbl>
      <w:tblPr>
        <w:tblW w:type="auto" w:w="0"/>
        <w:jc w:val="center"/>
        <w:tblLayout w:type="fixed"/>
        <w:tblLook w:firstColumn="1" w:firstRow="1" w:lastColumn="0" w:lastRow="0" w:noHBand="0" w:noVBand="1" w:val="04A0"/>
      </w:tblPr>
      <w:tblGrid>
        <w:gridCol w:w="5003"/>
        <w:gridCol w:w="5003"/>
      </w:tblGrid>
      <w:tr>
        <w:trPr>
          <w:tblHeader w:val="true"/>
        </w:trPr>
        <w:tc>
          <w:tcPr>
            <w:tcW w:type="dxa" w:w="27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Champ</w:t>
            </w:r>
          </w:p>
        </w:tc>
        <w:tc>
          <w:tcPr>
            <w:tcW w:type="dxa" w:w="7305"/>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Contrat proposé</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But</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Vérifier un ensemble identifié d’objets et d’exigences, créer des constats sourcés.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Contexte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 xml:space="preserve">Domaine BIM ou raccourci dans une planche ; droit </w:t>
            </w:r>
            <w:r>
              <w:rPr>
                <w:rFonts w:ascii="Liberation Sans" w:hAnsi="Liberation Sans" w:eastAsia="Liberation Sans" w:cs="Liberation Sans"/>
                <w:b w:val="0"/>
                <w:color w:val="263442"/>
                <w:sz w:val="15"/>
              </w:rPr>
              <w:t>check.run</w:t>
            </w:r>
            <w:r>
              <w:rPr>
                <w:rFonts w:ascii="Liberation Sans" w:hAnsi="Liberation Sans" w:eastAsia="Liberation Sans" w:cs="Liberation Sans"/>
                <w:color w:val="263442"/>
                <w:sz w:val="15"/>
              </w:rPr>
              <w:t xml:space="preserve"> à arbitrer.</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Entrée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Règle et version, périmètre et révision source, options et références.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Calcul</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Local ou job lourd ; état d’exécution distinct de la conclusion.</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Sortie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Conforme / non conforme / non testé / non applicable justifié, avec preuve.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Collaboration</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Rapprochement avec observations existantes ; clôture soumise au recontrôle.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Tests</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TEST-027, TEST-029, TEST-014.</w:t>
            </w:r>
          </w:p>
        </w:tc>
      </w:tr>
    </w:tbl>
    <w:p>
      <w:pPr>
        <w:spacing w:after="40" w:before="0"/>
      </w:pPr>
    </w:p>
    <w:p>
      <w:pPr>
        <w:pStyle w:val="H2"/>
      </w:pPr>
      <w:r>
        <w:t xml:space="preserve">C.5. Mise en page et publication — </w:t>
      </w:r>
      <w:r>
        <w:rPr>
          <w:rFonts w:ascii="Liberation Mono" w:hAnsi="Liberation Mono" w:eastAsia="Liberation Mono" w:cs="Liberation Mono"/>
          <w:b w:val="0"/>
          <w:color w:val="147D88"/>
          <w:sz w:val="15"/>
        </w:rPr>
        <w:t>studio.document.publish</w:t>
      </w:r>
    </w:p>
    <w:tbl>
      <w:tblPr>
        <w:tblW w:type="auto" w:w="0"/>
        <w:jc w:val="center"/>
        <w:tblLayout w:type="fixed"/>
        <w:tblLook w:firstColumn="1" w:firstRow="1" w:lastColumn="0" w:lastRow="0" w:noHBand="0" w:noVBand="1" w:val="04A0"/>
      </w:tblPr>
      <w:tblGrid>
        <w:gridCol w:w="5003"/>
        <w:gridCol w:w="5003"/>
      </w:tblGrid>
      <w:tr>
        <w:trPr>
          <w:tblHeader w:val="true"/>
        </w:trPr>
        <w:tc>
          <w:tcPr>
            <w:tcW w:type="dxa" w:w="27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Champ</w:t>
            </w:r>
          </w:p>
        </w:tc>
        <w:tc>
          <w:tcPr>
            <w:tcW w:type="dxa" w:w="7305"/>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Contrat proposé</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But</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Publier un dossier de conception sur ensemble approuvé.</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Contexte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Domaine D4, document figé, permission de publication serveur.</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Entrée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Manifeste versionné, empreintes, usage, approbation, destinataires autorisés.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Preview</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Liste des documents inclus, versions exactes, sources périmées, avertissements.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Validation</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Ensemble inchangé, approbation valide, contrôles requis, droits serveur.</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Écriture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Publication immuable avec version de diffusion, journal et liens au catalogue général.</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Échecs</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Fichier manquant, version changée, approbation inadéquate, droits révoqués.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Tests</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TEST-018, TEST-030, TEST-031, TEST-038.</w:t>
            </w:r>
          </w:p>
        </w:tc>
      </w:tr>
    </w:tbl>
    <w:p>
      <w:pPr>
        <w:spacing w:after="40" w:before="0"/>
      </w:pPr>
    </w:p>
    <w:p>
      <w:pPr>
        <w:pStyle w:val="H2"/>
      </w:pPr>
      <w:r>
        <w:t xml:space="preserve">C.6. Adaptateur MCP — </w:t>
      </w:r>
      <w:r>
        <w:rPr>
          <w:rFonts w:ascii="Liberation Mono" w:hAnsi="Liberation Mono" w:eastAsia="Liberation Mono" w:cs="Liberation Mono"/>
          <w:b w:val="0"/>
          <w:color w:val="147D88"/>
          <w:sz w:val="15"/>
        </w:rPr>
        <w:t>studio.agent.invoke</w:t>
      </w:r>
      <w:r>
        <w:t xml:space="preserve"> (option)</w:t>
      </w:r>
    </w:p>
    <w:tbl>
      <w:tblPr>
        <w:tblW w:type="auto" w:w="0"/>
        <w:jc w:val="center"/>
        <w:tblLayout w:type="fixed"/>
        <w:tblLook w:firstColumn="1" w:firstRow="1" w:lastColumn="0" w:lastRow="0" w:noHBand="0" w:noVBand="1" w:val="04A0"/>
      </w:tblPr>
      <w:tblGrid>
        <w:gridCol w:w="5003"/>
        <w:gridCol w:w="5003"/>
      </w:tblGrid>
      <w:tr>
        <w:trPr>
          <w:tblHeader w:val="true"/>
        </w:trPr>
        <w:tc>
          <w:tcPr>
            <w:tcW w:type="dxa" w:w="27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Champ</w:t>
            </w:r>
          </w:p>
        </w:tc>
        <w:tc>
          <w:tcPr>
            <w:tcW w:type="dxa" w:w="7305"/>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Contrat proposé</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But</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Transformer une demande d’agent en intention de commande contrôlée.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Contexte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Session autorisée, périmètre explicite et capacité exposable.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Entrée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toolId</w:t>
            </w:r>
            <w:r>
              <w:rPr>
                <w:rFonts w:ascii="Liberation Sans" w:hAnsi="Liberation Sans" w:eastAsia="Liberation Sans" w:cs="Liberation Sans"/>
                <w:color w:val="263442"/>
                <w:sz w:val="15"/>
              </w:rPr>
              <w:t>, contrat/version, paramètres, source, révision et identité du demandeur.</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Prévisualisation</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Validation à blanc, estimation des objets affectés et demande de confirmation si requis.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Écriture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Via le même bus métier et les permissions serveur ; pas de mutation directe du stockage.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Traçabilité</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Auteur humain/agent, appel et confirmation, coût et résultat.</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Refus</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Droit absent, outil non exposable, contexte périmé, confirmation manquante.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Tests</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TEST-033 et tests d’isolation multi-projets.</w:t>
            </w:r>
          </w:p>
        </w:tc>
      </w:tr>
    </w:tbl>
    <w:p>
      <w:pPr>
        <w:spacing w:after="40" w:before="0"/>
      </w:pPr>
    </w:p>
    <w:p>
      <w:pPr>
        <w:pStyle w:val="H1"/>
        <w:pageBreakBefore/>
        <w:spacing w:before="240"/>
        <w:pBdr>
          <w:bottom w:val="single" w:sz="12" w:space="6" w:color="147D88"/>
        </w:pBdr>
      </w:pPr>
      <w:r>
        <w:t>Annexe D. Sources et références internes</w:t>
      </w:r>
    </w:p>
    <w:p>
      <w:pPr>
        <w:pStyle w:val="H2"/>
      </w:pPr>
      <w:r>
        <w:t>D.1. Sources documentaires de rang supérieur</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4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Code</w:t>
            </w:r>
          </w:p>
        </w:tc>
        <w:tc>
          <w:tcPr>
            <w:tcW w:type="dxa" w:w="36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Document source</w:t>
            </w:r>
          </w:p>
        </w:tc>
        <w:tc>
          <w:tcPr>
            <w:tcW w:type="dxa" w:w="4003"/>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Traitement dans le présent référentiel</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SRC-01</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Fadi_Studio_Definition_Officielle_Reference_V2_1.docx</w:t>
            </w:r>
            <w:r>
              <w:rPr>
                <w:rFonts w:ascii="Liberation Sans" w:hAnsi="Liberation Sans" w:eastAsia="Liberation Sans" w:cs="Liberation Sans"/>
                <w:color w:val="263442"/>
                <w:sz w:val="15"/>
              </w:rPr>
              <w:t xml:space="preserve"> — charte proposée, 17 oct. 2026.</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Source des invariants métier et limites du produit.</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SRC-02</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Fadi_Studio_Concept_V2_Outils_Modulaires_Performance.md</w:t>
            </w:r>
            <w:r>
              <w:rPr>
                <w:rFonts w:ascii="Liberation Sans" w:hAnsi="Liberation Sans" w:eastAsia="Liberation Sans" w:cs="Liberation Sans"/>
                <w:color w:val="263442"/>
                <w:sz w:val="15"/>
              </w:rPr>
              <w:t xml:space="preserve"> — référentiel V2, 17 oct. 2026.</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Source des quatre domaines, associations, Registry/Manager, moteur, méthode et 18 décisions ouvertes.</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SRC-03</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Studio-Le Concept.md</w:t>
            </w:r>
            <w:r>
              <w:rPr>
                <w:rFonts w:ascii="Liberation Sans" w:hAnsi="Liberation Sans" w:eastAsia="Liberation Sans" w:cs="Liberation Sans"/>
                <w:color w:val="263442"/>
                <w:sz w:val="15"/>
              </w:rPr>
              <w:t xml:space="preserve"> — référentiel initial, 845 lignes.</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Source de la structure d’origine 4 domaines / 2 planches et du workflow.</w:t>
            </w:r>
          </w:p>
        </w:tc>
      </w:tr>
      <w:tr>
        <w:tc>
          <w:tcPr>
            <w:tcW w:type="dxa" w:w="24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SRC-04</w:t>
            </w:r>
          </w:p>
        </w:tc>
        <w:tc>
          <w:tcPr>
            <w:tcW w:type="dxa" w:w="36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Fadi_Studio_Repartition_Outils_Concept_2026-10-17.md</w:t>
            </w:r>
            <w:r>
              <w:rPr>
                <w:rFonts w:ascii="Liberation Sans" w:hAnsi="Liberation Sans" w:eastAsia="Liberation Sans" w:cs="Liberation Sans"/>
                <w:color w:val="263442"/>
                <w:sz w:val="15"/>
              </w:rPr>
              <w:t xml:space="preserve"> et sa matrice Excel.</w:t>
            </w:r>
          </w:p>
        </w:tc>
        <w:tc>
          <w:tcPr>
            <w:tcW w:type="dxa" w:w="4003"/>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Inventaire et classification des 47 outils Planche, 111 entrées Atelier et panneaux, non preuve fonctionnelle.</w:t>
            </w:r>
          </w:p>
        </w:tc>
      </w:tr>
      <w:tr>
        <w:tc>
          <w:tcPr>
            <w:tcW w:type="dxa" w:w="24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SRC-05</w:t>
            </w:r>
          </w:p>
        </w:tc>
        <w:tc>
          <w:tcPr>
            <w:tcW w:type="dxa" w:w="36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Fadi_Audit_approfondi_et_matrice_CAD_2026-10-17.md</w:t>
            </w:r>
            <w:r>
              <w:rPr>
                <w:rFonts w:ascii="Liberation Sans" w:hAnsi="Liberation Sans" w:eastAsia="Liberation Sans" w:cs="Liberation Sans"/>
                <w:color w:val="263442"/>
                <w:sz w:val="15"/>
              </w:rPr>
              <w:t xml:space="preserve"> et matrice Excel.</w:t>
            </w:r>
          </w:p>
        </w:tc>
        <w:tc>
          <w:tcPr>
            <w:tcW w:type="dxa" w:w="4003"/>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Diagnostic comparatif historique du dépôt et prototype Web CAD, utilisé seulement comme contexte.</w:t>
            </w:r>
          </w:p>
        </w:tc>
      </w:tr>
    </w:tbl>
    <w:p>
      <w:pPr>
        <w:spacing w:after="40" w:before="0"/>
      </w:pPr>
    </w:p>
    <w:p>
      <w:pPr>
        <w:pStyle w:val="H2"/>
      </w:pPr>
      <w:r>
        <w:t>D.2. Sources de code et de mesure identifiées (commit historique)</w:t>
      </w:r>
    </w:p>
    <w:p>
      <w:pPr>
        <w:pStyle w:val="Body"/>
      </w:pPr>
      <w:r>
        <w:t xml:space="preserve">Les chemins ci-dessous sont consultables dans </w:t>
      </w:r>
      <w:r>
        <w:rPr>
          <w:rFonts w:ascii="Liberation Mono" w:hAnsi="Liberation Mono" w:eastAsia="Liberation Mono" w:cs="Liberation Mono"/>
          <w:b w:val="0"/>
          <w:color w:val="147D88"/>
          <w:sz w:val="15"/>
        </w:rPr>
        <w:t>https://github.com/RachEma-ux/Fadi/tree/3bcda9296eaa0a0376ca5d2279dd71f52a75184b/</w:t>
      </w:r>
      <w:r>
        <w:t xml:space="preserve"> :</w:t>
      </w:r>
    </w:p>
    <w:tbl>
      <w:tblPr>
        <w:tblW w:type="auto" w:w="0"/>
        <w:jc w:val="center"/>
        <w:tblLayout w:type="fixed"/>
        <w:tblLook w:firstColumn="1" w:firstRow="1" w:lastColumn="0" w:lastRow="0" w:noHBand="0" w:noVBand="1" w:val="04A0"/>
      </w:tblPr>
      <w:tblGrid>
        <w:gridCol w:w="5003"/>
        <w:gridCol w:w="5003"/>
      </w:tblGrid>
      <w:tr>
        <w:trPr>
          <w:tblHeader w:val="true"/>
        </w:trPr>
        <w:tc>
          <w:tcPr>
            <w:tcW w:type="dxa" w:w="27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Domaine</w:t>
            </w:r>
          </w:p>
        </w:tc>
        <w:tc>
          <w:tcPr>
            <w:tcW w:type="dxa" w:w="7305"/>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Chemin pertinent</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Plan 2D</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apps/web/src/modules/atelier/nouveau/plan2d/Plan2D.tsx</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Accrochage 2D</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apps/web/src/modules/atelier/nouveau/plan2d/accrochage.ts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Vue 3D bâtiment</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apps/web/src/modules/atelier/nouveau/vue3d/scene3d.ts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Vue Planche 3D</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apps/web/src/modules/atelier/nouveau/planche/vue-planche.ts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Machines Planche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packages/planche-model/src/outils/index.ts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Modèle sémantique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packages/atelier-model/src/</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Géométrie exacte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apps/web/src/modules/atelier/nouveau/exact/moteur-exact.ts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Worker exact</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apps/web/src/modules/atelier/nouveau/exact/exact.worker.ts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Historique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apps/web/src/modules/atelier/nouveau/planche/historique.ts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Deltas</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packages/planche-model/src/delta.ts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Documents</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apps/web/src/modules/atelier/nouveau/documents/generation-client.ts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Packaging offline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apps/web/vite.config.ts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color w:val="263442"/>
                <w:sz w:val="15"/>
              </w:rPr>
              <w:t>Benchmarks historiques</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val="0"/>
                <w:color w:val="263442"/>
                <w:sz w:val="15"/>
              </w:rPr>
              <w:t>docs/atelier/p0-mesures.md</w:t>
            </w:r>
            <w:r>
              <w:rPr>
                <w:rFonts w:ascii="Liberation Sans" w:hAnsi="Liberation Sans" w:eastAsia="Liberation Sans" w:cs="Liberation Sans"/>
                <w:color w:val="263442"/>
                <w:sz w:val="15"/>
              </w:rPr>
              <w:t xml:space="preserve">, </w:t>
            </w:r>
            <w:r>
              <w:rPr>
                <w:rFonts w:ascii="Liberation Sans" w:hAnsi="Liberation Sans" w:eastAsia="Liberation Sans" w:cs="Liberation Sans"/>
                <w:b w:val="0"/>
                <w:color w:val="263442"/>
                <w:sz w:val="15"/>
              </w:rPr>
              <w:t>docs/atelier/p2-mesures.md</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color w:val="263442"/>
                <w:sz w:val="15"/>
              </w:rPr>
              <w:t>Backend/infra</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val="0"/>
                <w:color w:val="263442"/>
                <w:sz w:val="15"/>
              </w:rPr>
              <w:t>apps/api/</w:t>
            </w:r>
            <w:r>
              <w:rPr>
                <w:rFonts w:ascii="Liberation Sans" w:hAnsi="Liberation Sans" w:eastAsia="Liberation Sans" w:cs="Liberation Sans"/>
                <w:color w:val="263442"/>
                <w:sz w:val="15"/>
              </w:rPr>
              <w:t xml:space="preserve">, </w:t>
            </w:r>
            <w:r>
              <w:rPr>
                <w:rFonts w:ascii="Liberation Sans" w:hAnsi="Liberation Sans" w:eastAsia="Liberation Sans" w:cs="Liberation Sans"/>
                <w:b w:val="0"/>
                <w:color w:val="263442"/>
                <w:sz w:val="15"/>
              </w:rPr>
              <w:t>.github/workflows/</w:t>
            </w:r>
            <w:r>
              <w:rPr>
                <w:rFonts w:ascii="Liberation Sans" w:hAnsi="Liberation Sans" w:eastAsia="Liberation Sans" w:cs="Liberation Sans"/>
                <w:color w:val="263442"/>
                <w:sz w:val="15"/>
              </w:rPr>
              <w:t xml:space="preserve">, </w:t>
            </w:r>
            <w:r>
              <w:rPr>
                <w:rFonts w:ascii="Liberation Sans" w:hAnsi="Liberation Sans" w:eastAsia="Liberation Sans" w:cs="Liberation Sans"/>
                <w:b w:val="0"/>
                <w:color w:val="263442"/>
                <w:sz w:val="15"/>
              </w:rPr>
              <w:t>docker-compose.yml</w:t>
            </w:r>
          </w:p>
        </w:tc>
      </w:tr>
    </w:tbl>
    <w:p>
      <w:pPr>
        <w:spacing w:after="40" w:before="0"/>
      </w:pPr>
    </w:p>
    <w:p>
      <w:pPr>
        <w:pStyle w:val="Body"/>
      </w:pPr>
      <w:r>
        <w:t>L’audit à la date de décision doit vérifier à nouveau les chemins, versions, tests, dépendances et comportement effectivement déployé. Les constats historiques ne sont pas des performances garanties.</w:t>
      </w:r>
    </w:p>
    <w:p>
      <w:pPr>
        <w:pStyle w:val="H2"/>
      </w:pPr>
      <w:r>
        <w:t>D.3. Glossaire essentiel</w:t>
      </w:r>
    </w:p>
    <w:tbl>
      <w:tblPr>
        <w:tblW w:type="auto" w:w="0"/>
        <w:jc w:val="center"/>
        <w:tblLayout w:type="fixed"/>
        <w:tblLook w:firstColumn="1" w:firstRow="1" w:lastColumn="0" w:lastRow="0" w:noHBand="0" w:noVBand="1" w:val="04A0"/>
      </w:tblPr>
      <w:tblGrid>
        <w:gridCol w:w="5003"/>
        <w:gridCol w:w="5003"/>
      </w:tblGrid>
      <w:tr>
        <w:trPr>
          <w:tblHeader w:val="true"/>
        </w:trPr>
        <w:tc>
          <w:tcPr>
            <w:tcW w:type="dxa" w:w="2702"/>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Terme</w:t>
            </w:r>
          </w:p>
        </w:tc>
        <w:tc>
          <w:tcPr>
            <w:tcW w:type="dxa" w:w="7305"/>
            <w:vAlign w:val="center"/>
            <w:tcMar>
              <w:top w:w="105" w:type="dxa"/>
              <w:start w:w="100" w:type="dxa"/>
              <w:bottom w:w="105" w:type="dxa"/>
              <w:end w:w="100" w:type="dxa"/>
            </w:tcMar>
            <w:shd w:fill="142B46"/>
            <w:tcBorders>
              <w:bottom w:val="single" w:sz="4" w:color="D7E1E8"/>
            </w:tcBorders>
          </w:tcPr>
          <w:p>
            <w:pPr>
              <w:pStyle w:val="TableHeader"/>
              <w:keepNext/>
              <w:keepLines w:val="0"/>
            </w:pPr>
            <w:r>
              <w:rPr>
                <w:rFonts w:ascii="Liberation Sans" w:hAnsi="Liberation Sans" w:eastAsia="Liberation Sans" w:cs="Liberation Sans"/>
                <w:b/>
                <w:color w:val="FFFFFF"/>
                <w:sz w:val="15"/>
              </w:rPr>
              <w:t>Définition opératoire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Planche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Éditeur complet et autonome, 2D ou 3D, incluant interactions et commandes.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Domaine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Propriétaire fonctionnel des données et règles ; ne décrit pas nécessairement un microservice.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Modèle canonique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Définitions 2D/3D/architecturales faisant autorité, indépendamment du rendu.</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Association</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Lien explicite entre contenus avec sémantique et règle de propagation.</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Copie indépendante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Nouveau contenu autonome, avec provenance éventuelle mais sans propagation.</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Projection de scène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Représentation dérivée (SVG, meshes, index, caches) reconstruisible.</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Tool Registry</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Catalogue de contrats des capacités, accessible sans initialiser les moteurs.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Tool Manager</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Gestionnaire de profils, recherche, activation, chargement et dispatch.</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Machine d’outil</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Logique interactive localisée produisant des intentions de commande.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Worker</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Contexte d’exécution séparé du thread UI, échange par messages.</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Noyau exact</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Bibliothèque de calcul géométrique exact/topologique (ex. OCCT).</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Dirty flag</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Marque de données dérivées à recalculer à la suite d’une modification.</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BVH / R-tree</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Structures candidates d’accélération de recherches spatiales.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Idempotence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Réessai d’une même commande sans création d’un deuxième effet.</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Révision</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État identifié, figé et référençable d’une variante.</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Manifeste</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Ensemble identifié de versions/documentations constituant une publication.</w:t>
            </w:r>
          </w:p>
        </w:tc>
      </w:tr>
      <w:tr>
        <w:tc>
          <w:tcPr>
            <w:tcW w:type="dxa" w:w="2702"/>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b/>
                <w:i w:val="0"/>
                <w:color w:val="263442"/>
                <w:sz w:val="15"/>
              </w:rPr>
              <w:t>ADR</w:t>
            </w:r>
          </w:p>
        </w:tc>
        <w:tc>
          <w:tcPr>
            <w:tcW w:type="dxa" w:w="7305"/>
            <w:vAlign w:val="center"/>
            <w:tcMar>
              <w:top w:w="75" w:type="dxa"/>
              <w:start w:w="100" w:type="dxa"/>
              <w:bottom w:w="75" w:type="dxa"/>
              <w:end w:w="100" w:type="dxa"/>
            </w:tcMar>
            <w:shd w:fill="FFFFFF"/>
            <w:tcBorders>
              <w:bottom w:val="single" w:sz="4" w:color="D7E1E8"/>
            </w:tcBorders>
          </w:tcPr>
          <w:p>
            <w:pPr>
              <w:pStyle w:val="TableBody"/>
              <w:keepLines w:val="0"/>
            </w:pPr>
            <w:r>
              <w:rPr>
                <w:rFonts w:ascii="Liberation Sans" w:hAnsi="Liberation Sans" w:eastAsia="Liberation Sans" w:cs="Liberation Sans"/>
                <w:color w:val="263442"/>
                <w:sz w:val="15"/>
              </w:rPr>
              <w:t>Enregistrement motivé d’une décision d’architecture et de ses preuves.</w:t>
            </w:r>
          </w:p>
        </w:tc>
      </w:tr>
      <w:tr>
        <w:tc>
          <w:tcPr>
            <w:tcW w:type="dxa" w:w="2702"/>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b/>
                <w:i w:val="0"/>
                <w:color w:val="263442"/>
                <w:sz w:val="15"/>
              </w:rPr>
              <w:t>MCP</w:t>
            </w:r>
          </w:p>
        </w:tc>
        <w:tc>
          <w:tcPr>
            <w:tcW w:type="dxa" w:w="7305"/>
            <w:vAlign w:val="center"/>
            <w:tcMar>
              <w:top w:w="75" w:type="dxa"/>
              <w:start w:w="100" w:type="dxa"/>
              <w:bottom w:w="75" w:type="dxa"/>
              <w:end w:w="100" w:type="dxa"/>
            </w:tcMar>
            <w:shd w:fill="F7F9FB"/>
            <w:tcBorders>
              <w:bottom w:val="single" w:sz="4" w:color="D7E1E8"/>
            </w:tcBorders>
          </w:tcPr>
          <w:p>
            <w:pPr>
              <w:pStyle w:val="TableBody"/>
              <w:keepLines w:val="0"/>
            </w:pPr>
            <w:r>
              <w:rPr>
                <w:rFonts w:ascii="Liberation Sans" w:hAnsi="Liberation Sans" w:eastAsia="Liberation Sans" w:cs="Liberation Sans"/>
                <w:color w:val="263442"/>
                <w:sz w:val="15"/>
              </w:rPr>
              <w:t>Interface facultative d’exposition contrôlée de capacités vers des agents IA.</w:t>
            </w:r>
          </w:p>
        </w:tc>
      </w:tr>
    </w:tbl>
    <w:p>
      <w:pPr>
        <w:spacing w:after="40" w:before="0"/>
      </w:pPr>
    </w:p>
    <w:p>
      <w:pPr>
        <w:spacing w:after="40"/>
      </w:pPr>
    </w:p>
    <w:p>
      <w:pPr>
        <w:pStyle w:val="Body"/>
      </w:pPr>
      <w:r>
        <w:rPr>
          <w:b/>
          <w:i w:val="0"/>
        </w:rPr>
        <w:t>Clôture documentaire.</w:t>
      </w:r>
      <w:r>
        <w:t xml:space="preserve"> Le présent référentiel rassemble </w:t>
      </w:r>
      <w:r>
        <w:rPr>
          <w:b/>
          <w:i w:val="0"/>
        </w:rPr>
        <w:t>les exigences techniques de la cible</w:t>
      </w:r>
      <w:r>
        <w:t xml:space="preserve">, non les preuves de réalisation. La charte V2.1 gouverne ses invariants ; le dossier de validation devra ajouter preuves de tests, mesures et décisions approuvées, version par version. Avant de développer, les décisions DEC-01 à DEC-18 doivent être instruites au niveau nécessaire à chaque lot. </w:t>
      </w:r>
      <w:r>
        <w:rPr>
          <w:b/>
          <w:i w:val="0"/>
        </w:rPr>
        <w:t>Aucun composant existant n’est réécrit sans motif et aucun composant n’est considéré conforme sans test sur le périmètre annoncé.</w:t>
      </w:r>
    </w:p>
    <w:sectPr w:rsidR="00FC693F" w:rsidRPr="0006063C" w:rsidSect="00034616">
      <w:headerReference w:type="default" r:id="rId9"/>
      <w:footerReference w:type="default" r:id="rId10"/>
      <w:pgSz w:w="11906" w:h="16838"/>
      <w:pgMar w:top="1049" w:right="907" w:bottom="879" w:left="992"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s="Liberation Sans"/>
        <w:color w:val="617384"/>
        <w:sz w:val="14"/>
      </w:rPr>
      <w:t xml:space="preserve">STUDIO-RT-001  ·  VERSION 1.0  ·  17.10.2026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right"/>
    </w:pPr>
    <w:r>
      <w:rPr>
        <w:rFonts w:ascii="Liberation Sans" w:hAnsi="Liberation Sans" w:eastAsia="Liberation Sans" w:cs="Liberation Sans"/>
        <w:b/>
        <w:color w:val="617384"/>
        <w:sz w:val="14"/>
      </w:rPr>
      <w:t>FADI   /   STUDIO  ·  RÉFÉRENTIEL TECHNIQUE  |  STUDIO-RT-001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Liberation Sans" w:hAnsi="Liberation Sans"/>
      <w:color w:val="2634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4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before="0" w:after="120" w:line="274" w:lineRule="auto"/>
    </w:pPr>
    <w:rPr>
      <w:rFonts w:ascii="Liberation Sans" w:hAnsi="Liberation Sans"/>
      <w:b w:val="0"/>
      <w:color w:val="263442"/>
      <w:sz w:val="18"/>
    </w:rPr>
  </w:style>
  <w:style w:type="paragraph" w:customStyle="1" w:styleId="H0">
    <w:name w:val="H0"/>
    <w:pPr>
      <w:keepNext/>
      <w:spacing w:before="0" w:after="160" w:line="240" w:lineRule="auto"/>
    </w:pPr>
    <w:rPr>
      <w:rFonts w:ascii="Liberation Sans" w:hAnsi="Liberation Sans"/>
      <w:b/>
      <w:color w:val="142B46"/>
      <w:sz w:val="46"/>
    </w:rPr>
  </w:style>
  <w:style w:type="paragraph" w:customStyle="1" w:styleId="H1">
    <w:name w:val="H1"/>
    <w:basedOn w:val="Heading1"/>
    <w:pPr>
      <w:keepNext/>
      <w:spacing w:before="240" w:after="140" w:line="252" w:lineRule="auto"/>
      <w:outlineLvl w:val="0"/>
    </w:pPr>
    <w:rPr>
      <w:rFonts w:ascii="Liberation Sans" w:hAnsi="Liberation Sans"/>
      <w:b/>
      <w:color w:val="142B46"/>
      <w:sz w:val="30"/>
    </w:rPr>
  </w:style>
  <w:style w:type="paragraph" w:customStyle="1" w:styleId="H2">
    <w:name w:val="H2"/>
    <w:basedOn w:val="Heading2"/>
    <w:pPr>
      <w:keepNext/>
      <w:spacing w:before="180" w:after="80" w:line="252" w:lineRule="auto"/>
      <w:outlineLvl w:val="1"/>
    </w:pPr>
    <w:rPr>
      <w:rFonts w:ascii="Liberation Sans" w:hAnsi="Liberation Sans"/>
      <w:b/>
      <w:color w:val="147D88"/>
      <w:sz w:val="22"/>
    </w:rPr>
  </w:style>
  <w:style w:type="paragraph" w:customStyle="1" w:styleId="H3">
    <w:name w:val="H3"/>
    <w:basedOn w:val="Heading3"/>
    <w:pPr>
      <w:keepNext/>
      <w:spacing w:before="120" w:after="60" w:line="259" w:lineRule="auto"/>
      <w:outlineLvl w:val="2"/>
    </w:pPr>
    <w:rPr>
      <w:rFonts w:ascii="Liberation Sans" w:hAnsi="Liberation Sans"/>
      <w:b/>
      <w:color w:val="142B46"/>
      <w:sz w:val="20"/>
    </w:rPr>
  </w:style>
  <w:style w:type="paragraph" w:customStyle="1" w:styleId="Lead">
    <w:name w:val="Lead"/>
    <w:pPr>
      <w:spacing w:before="0" w:after="120" w:line="283" w:lineRule="auto"/>
    </w:pPr>
    <w:rPr>
      <w:rFonts w:ascii="Liberation Sans" w:hAnsi="Liberation Sans"/>
      <w:b w:val="0"/>
      <w:color w:val="617384"/>
      <w:sz w:val="22"/>
    </w:rPr>
  </w:style>
  <w:style w:type="paragraph" w:customStyle="1" w:styleId="Small">
    <w:name w:val="Small"/>
    <w:pPr>
      <w:spacing w:before="0" w:after="80" w:line="274" w:lineRule="auto"/>
    </w:pPr>
    <w:rPr>
      <w:rFonts w:ascii="Liberation Sans" w:hAnsi="Liberation Sans"/>
      <w:b w:val="0"/>
      <w:color w:val="617384"/>
      <w:sz w:val="16"/>
    </w:rPr>
  </w:style>
  <w:style w:type="paragraph" w:customStyle="1" w:styleId="TableBody">
    <w:name w:val="TableBody"/>
    <w:pPr>
      <w:spacing w:before="0" w:after="0" w:line="257" w:lineRule="auto"/>
    </w:pPr>
    <w:rPr>
      <w:rFonts w:ascii="Liberation Sans" w:hAnsi="Liberation Sans"/>
      <w:b w:val="0"/>
      <w:color w:val="263442"/>
      <w:sz w:val="15"/>
    </w:rPr>
  </w:style>
  <w:style w:type="paragraph" w:customStyle="1" w:styleId="TableHeader">
    <w:name w:val="TableHeader"/>
    <w:pPr>
      <w:spacing w:before="0" w:after="0" w:line="252" w:lineRule="auto"/>
    </w:pPr>
    <w:rPr>
      <w:rFonts w:ascii="Liberation Sans" w:hAnsi="Liberation Sans"/>
      <w:b/>
      <w:color w:val="FFFFFF"/>
      <w:sz w:val="15"/>
    </w:rPr>
  </w:style>
  <w:style w:type="paragraph" w:customStyle="1" w:styleId="CodeBlock">
    <w:name w:val="CodeBlock"/>
    <w:pPr>
      <w:spacing w:before="60" w:after="100" w:line="247" w:lineRule="auto"/>
    </w:pPr>
    <w:rPr>
      <w:rFonts w:ascii="Liberation Sans" w:hAnsi="Liberation Sans"/>
      <w:b w:val="0"/>
      <w:color w:val="142B46"/>
      <w:sz w:val="16"/>
    </w:rPr>
  </w:style>
  <w:style w:type="paragraph" w:customStyle="1" w:styleId="Outline">
    <w:name w:val="Outline"/>
    <w:pPr>
      <w:spacing w:before="0" w:after="120" w:line="274" w:lineRule="auto"/>
    </w:pPr>
    <w:rPr>
      <w:rFonts w:ascii="Liberation Sans" w:hAnsi="Liberation Sans"/>
      <w:b w:val="0"/>
      <w:color w:val="263442"/>
      <w:sz w:val="19"/>
    </w:rPr>
  </w:style>
  <w:style w:type="paragraph" w:customStyle="1" w:styleId="BulletCustom">
    <w:name w:val="BulletCustom"/>
    <w:pPr>
      <w:spacing w:before="0" w:after="60" w:line="274" w:lineRule="auto"/>
    </w:pPr>
    <w:rPr>
      <w:rFonts w:ascii="Liberation Sans" w:hAnsi="Liberation Sans"/>
      <w:b w:val="0"/>
      <w:color w:val="26344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Fadi — Studio — Référentiel technique détaillé V1.0</dc:title>
  <dc:subject>Architecture, contrats, moteurs, outils, performance et validation du Studio Fadi</dc:subject>
  <dc:creator>Référentiel technique de projet</dc:creator>
  <cp:keywords>Fadi, Studio, CAO, BIM, Tool Registry, Tool Manager, validation, architecture</cp:keywords>
  <dc:description>Proposition de spécification technique soumise à validation ; ne constitue pas une autorisation d’implémentation.</dc:description>
  <cp:lastModifiedBy/>
  <cp:revision>1</cp:revision>
  <dcterms:created xsi:type="dcterms:W3CDTF">2013-12-23T23:15:00Z</dcterms:created>
  <dcterms:modified xsi:type="dcterms:W3CDTF">2013-12-23T23:15:00Z</dcterms:modified>
  <cp:category/>
</cp:coreProperties>
</file>