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699" w:rsidRDefault="00F61699" w:rsidP="00F61699">
      <w:pPr>
        <w:pStyle w:val="isselectedend"/>
        <w:jc w:val="center"/>
      </w:pPr>
      <w:r>
        <w:rPr>
          <w:rStyle w:val="Strong"/>
        </w:rPr>
        <w:t>Summary and Recommendations for Sales Performance</w:t>
      </w:r>
      <w:bookmarkStart w:id="0" w:name="_GoBack"/>
      <w:bookmarkEnd w:id="0"/>
    </w:p>
    <w:p w:rsidR="00F61699" w:rsidRDefault="00F61699" w:rsidP="00F61699">
      <w:pPr>
        <w:pStyle w:val="isselectedend"/>
        <w:jc w:val="both"/>
      </w:pPr>
      <w:r>
        <w:t>Based on a comprehensive analysis of the Superstore dataset, the following insights and recommendations were derived:</w:t>
      </w:r>
    </w:p>
    <w:p w:rsidR="00F61699" w:rsidRDefault="00F61699" w:rsidP="00F61699">
      <w:pPr>
        <w:pStyle w:val="isselectedend"/>
        <w:jc w:val="both"/>
      </w:pPr>
      <w:r>
        <w:rPr>
          <w:rStyle w:val="Strong"/>
        </w:rPr>
        <w:t>Region:</w:t>
      </w:r>
      <w:r>
        <w:t xml:space="preserve"> The regions with the highest sales are Asia-Pacific, the European Union, and the USA, respectively. The Superstore should consider expanding its market presence in these regions to capitalize on strong demand.</w:t>
      </w:r>
    </w:p>
    <w:p w:rsidR="00F61699" w:rsidRDefault="00F61699" w:rsidP="00F61699">
      <w:pPr>
        <w:pStyle w:val="isselectedend"/>
        <w:jc w:val="both"/>
      </w:pPr>
      <w:r>
        <w:rPr>
          <w:rStyle w:val="Strong"/>
        </w:rPr>
        <w:t>Yearly Sales:</w:t>
      </w:r>
      <w:r>
        <w:t xml:space="preserve"> Sales increased steadily from 2011 to 2014. Based on this upward trend, it is reasonable to project continued year-over-year growth if current conditions are maintained.</w:t>
      </w:r>
    </w:p>
    <w:p w:rsidR="00F61699" w:rsidRDefault="00F61699" w:rsidP="00F61699">
      <w:pPr>
        <w:pStyle w:val="isselectedend"/>
        <w:jc w:val="both"/>
      </w:pPr>
      <w:r>
        <w:rPr>
          <w:rStyle w:val="Strong"/>
        </w:rPr>
        <w:t>Product Category:</w:t>
      </w:r>
      <w:r>
        <w:t xml:space="preserve"> The three primary product categories are Technology, Furniture, and Office Supplies. Technology leads in overall sales proportion, followed by Furniture and then Office Supplies across all regions except the Caribbean. The Superstore should prioritize investment in Technology products across most regions, while emphasizing Furniture products in the Caribbean market.</w:t>
      </w:r>
    </w:p>
    <w:p w:rsidR="00F61699" w:rsidRDefault="00F61699" w:rsidP="00F61699">
      <w:pPr>
        <w:pStyle w:val="isselectedend"/>
        <w:jc w:val="both"/>
      </w:pPr>
      <w:r>
        <w:rPr>
          <w:rStyle w:val="Strong"/>
        </w:rPr>
        <w:t>Order Priority:</w:t>
      </w:r>
      <w:r>
        <w:t xml:space="preserve"> Order priorities include Critical, High, Medium, and Low. Sales generated from Medium and High priority orders are significantly greater than those from other categories. Encouraging Medium and High priority orders could help sustain stronger sales performance.</w:t>
      </w:r>
    </w:p>
    <w:p w:rsidR="00F61699" w:rsidRDefault="00F61699" w:rsidP="00F61699">
      <w:pPr>
        <w:pStyle w:val="isselectedend"/>
        <w:jc w:val="both"/>
      </w:pPr>
      <w:r>
        <w:rPr>
          <w:rStyle w:val="Strong"/>
        </w:rPr>
        <w:t>Shipping Mode:</w:t>
      </w:r>
      <w:r>
        <w:t xml:space="preserve"> Shipping modes include Standard, Second Day, First Class, and Same Day. Standard shipping accounts for approximately 50% of shipping-related sales across all regions. Promoting Standard shipping as the default option may align with customer preferences and sales trends.</w:t>
      </w:r>
    </w:p>
    <w:p w:rsidR="00F61699" w:rsidRDefault="00F61699" w:rsidP="00F61699">
      <w:pPr>
        <w:pStyle w:val="NormalWeb"/>
        <w:jc w:val="both"/>
      </w:pPr>
      <w:r>
        <w:rPr>
          <w:rStyle w:val="Strong"/>
        </w:rPr>
        <w:t>Customer Segment:</w:t>
      </w:r>
      <w:r>
        <w:t xml:space="preserve"> The customer segments are Consumer, Corporate, and Home Office. The Consumer segment contributes roughly half of total sales. The Superstore should invest in advertising and engagement strategies that specifically target consumer customers to maximize revenue opportunities.</w:t>
      </w:r>
    </w:p>
    <w:p w:rsidR="00216126" w:rsidRPr="00F61699" w:rsidRDefault="00216126" w:rsidP="00F61699">
      <w:pPr>
        <w:jc w:val="both"/>
      </w:pPr>
    </w:p>
    <w:sectPr w:rsidR="00216126" w:rsidRPr="00F61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07B"/>
    <w:rsid w:val="00031743"/>
    <w:rsid w:val="00216126"/>
    <w:rsid w:val="00796AE7"/>
    <w:rsid w:val="00861725"/>
    <w:rsid w:val="00CF384A"/>
    <w:rsid w:val="00D67A6F"/>
    <w:rsid w:val="00DC5B41"/>
    <w:rsid w:val="00DF107B"/>
    <w:rsid w:val="00E705E4"/>
    <w:rsid w:val="00EB1B3E"/>
    <w:rsid w:val="00F61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6E2D"/>
  <w15:chartTrackingRefBased/>
  <w15:docId w15:val="{B45A0A5D-0B62-4CD9-B18A-65434FF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F616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61699"/>
    <w:rPr>
      <w:b/>
      <w:bCs/>
    </w:rPr>
  </w:style>
  <w:style w:type="paragraph" w:styleId="NormalWeb">
    <w:name w:val="Normal (Web)"/>
    <w:basedOn w:val="Normal"/>
    <w:uiPriority w:val="99"/>
    <w:semiHidden/>
    <w:unhideWhenUsed/>
    <w:rsid w:val="00F6169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44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BMT NETWORKS</dc:creator>
  <cp:keywords/>
  <dc:description/>
  <cp:lastModifiedBy>BMT NETWORKS</cp:lastModifiedBy>
  <cp:revision>6</cp:revision>
  <dcterms:created xsi:type="dcterms:W3CDTF">2026-02-17T07:09:00Z</dcterms:created>
  <dcterms:modified xsi:type="dcterms:W3CDTF">2026-02-17T08:03:00Z</dcterms:modified>
</cp:coreProperties>
</file>