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E8BA8C" w14:textId="56E7BE12" w:rsidR="003B7E00" w:rsidRDefault="00D115E3" w:rsidP="00D115E3">
      <w:pPr>
        <w:spacing w:line="48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S1 Table: Genes differentially expressed in </w:t>
      </w:r>
      <w:r w:rsidRPr="0072798D">
        <w:rPr>
          <w:rFonts w:ascii="Times New Roman" w:hAnsi="Times New Roman" w:cs="Times New Roman"/>
          <w:b/>
          <w:i/>
        </w:rPr>
        <w:t>cna1</w:t>
      </w:r>
      <w:r>
        <w:rPr>
          <w:rFonts w:ascii="Times New Roman" w:hAnsi="Times New Roman" w:cs="Times New Roman"/>
          <w:b/>
        </w:rPr>
        <w:t xml:space="preserve">Δ and </w:t>
      </w:r>
      <w:r w:rsidRPr="0072798D">
        <w:rPr>
          <w:rFonts w:ascii="Times New Roman" w:hAnsi="Times New Roman" w:cs="Times New Roman"/>
          <w:b/>
          <w:i/>
        </w:rPr>
        <w:t>crz1</w:t>
      </w:r>
      <w:r>
        <w:rPr>
          <w:rFonts w:ascii="Times New Roman" w:hAnsi="Times New Roman" w:cs="Times New Roman"/>
          <w:b/>
        </w:rPr>
        <w:t>Δ mutants under non-induced conditions.</w:t>
      </w:r>
      <w:bookmarkStart w:id="0" w:name="_GoBack"/>
      <w:bookmarkEnd w:id="0"/>
    </w:p>
    <w:tbl>
      <w:tblPr>
        <w:tblStyle w:val="TableGridLight"/>
        <w:tblW w:w="8935" w:type="dxa"/>
        <w:tblLook w:val="04A0" w:firstRow="1" w:lastRow="0" w:firstColumn="1" w:lastColumn="0" w:noHBand="0" w:noVBand="1"/>
      </w:tblPr>
      <w:tblGrid>
        <w:gridCol w:w="939"/>
        <w:gridCol w:w="1041"/>
        <w:gridCol w:w="899"/>
        <w:gridCol w:w="851"/>
        <w:gridCol w:w="5205"/>
      </w:tblGrid>
      <w:tr w:rsidR="00D115E3" w14:paraId="7FB1D7FE" w14:textId="77777777" w:rsidTr="006A6AA5">
        <w:tc>
          <w:tcPr>
            <w:tcW w:w="93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849898A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F1273">
              <w:rPr>
                <w:rFonts w:ascii="Times New Roman" w:hAnsi="Times New Roman" w:cs="Times New Roman"/>
                <w:b/>
                <w:sz w:val="20"/>
                <w:szCs w:val="20"/>
              </w:rPr>
              <w:t>Locus tag (CNAG)</w:t>
            </w:r>
          </w:p>
        </w:tc>
        <w:tc>
          <w:tcPr>
            <w:tcW w:w="104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782E568F" w14:textId="77777777" w:rsidR="00D115E3" w:rsidRPr="00CF349D" w:rsidRDefault="00D115E3" w:rsidP="006A6AA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Gene </w:t>
            </w:r>
            <w:r w:rsidRPr="00CF349D">
              <w:rPr>
                <w:rFonts w:ascii="Times New Roman" w:hAnsi="Times New Roman" w:cs="Times New Roman"/>
                <w:b/>
                <w:sz w:val="20"/>
                <w:szCs w:val="20"/>
              </w:rPr>
              <w:t>Name</w:t>
            </w:r>
          </w:p>
        </w:tc>
        <w:tc>
          <w:tcPr>
            <w:tcW w:w="89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24BBAD94" w14:textId="77777777" w:rsidR="00D115E3" w:rsidRPr="00CF349D" w:rsidRDefault="00D115E3" w:rsidP="006A6AA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cna1</w:t>
            </w:r>
            <w:r w:rsidRPr="00CF349D">
              <w:rPr>
                <w:rFonts w:ascii="Times New Roman" w:hAnsi="Times New Roman" w:cs="Times New Roman"/>
                <w:b/>
                <w:sz w:val="20"/>
                <w:szCs w:val="20"/>
              </w:rPr>
              <w:t>Δ log2FC</w:t>
            </w:r>
          </w:p>
        </w:tc>
        <w:tc>
          <w:tcPr>
            <w:tcW w:w="85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4EFEC388" w14:textId="77777777" w:rsidR="00D115E3" w:rsidRPr="00CF349D" w:rsidRDefault="00D115E3" w:rsidP="006A6AA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crz1</w:t>
            </w:r>
            <w:r w:rsidRPr="00CF349D">
              <w:rPr>
                <w:rFonts w:ascii="Times New Roman" w:hAnsi="Times New Roman" w:cs="Times New Roman"/>
                <w:b/>
                <w:sz w:val="20"/>
                <w:szCs w:val="20"/>
              </w:rPr>
              <w:t>Δ log2FC</w:t>
            </w:r>
          </w:p>
        </w:tc>
        <w:tc>
          <w:tcPr>
            <w:tcW w:w="520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EA01E29" w14:textId="77777777" w:rsidR="00D115E3" w:rsidRPr="00CF349D" w:rsidRDefault="00D115E3" w:rsidP="006A6AA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b/>
                <w:sz w:val="20"/>
                <w:szCs w:val="20"/>
              </w:rPr>
              <w:t>Description</w:t>
            </w:r>
          </w:p>
        </w:tc>
      </w:tr>
      <w:tr w:rsidR="00D115E3" w14:paraId="07E19F13" w14:textId="77777777" w:rsidTr="006A6AA5">
        <w:trPr>
          <w:trHeight w:val="293"/>
        </w:trPr>
        <w:tc>
          <w:tcPr>
            <w:tcW w:w="8935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4B827F4" w14:textId="77777777" w:rsidR="00D115E3" w:rsidRPr="004F1273" w:rsidRDefault="00D115E3" w:rsidP="006A6AA5">
            <w:pPr>
              <w:rPr>
                <w:i/>
              </w:rPr>
            </w:pPr>
            <w:r w:rsidRPr="004F1273">
              <w:rPr>
                <w:rFonts w:ascii="Times New Roman" w:hAnsi="Times New Roman" w:cs="Times New Roman"/>
                <w:b/>
                <w:sz w:val="20"/>
                <w:szCs w:val="20"/>
              </w:rPr>
              <w:t>Genes differentially expressed in both</w:t>
            </w:r>
            <w:r>
              <w:t xml:space="preserve"> </w:t>
            </w:r>
            <w:r w:rsidRPr="00CF349D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cna1</w:t>
            </w:r>
            <w:r w:rsidRPr="00CF349D">
              <w:rPr>
                <w:rFonts w:ascii="Times New Roman" w:hAnsi="Times New Roman" w:cs="Times New Roman"/>
                <w:b/>
                <w:sz w:val="20"/>
                <w:szCs w:val="20"/>
              </w:rPr>
              <w:t>Δ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and </w:t>
            </w:r>
            <w:r w:rsidRPr="00CF349D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crz1</w:t>
            </w:r>
            <w:r w:rsidRPr="00CF349D">
              <w:rPr>
                <w:rFonts w:ascii="Times New Roman" w:hAnsi="Times New Roman" w:cs="Times New Roman"/>
                <w:b/>
                <w:sz w:val="20"/>
                <w:szCs w:val="20"/>
              </w:rPr>
              <w:t>Δ</w:t>
            </w:r>
          </w:p>
        </w:tc>
      </w:tr>
      <w:tr w:rsidR="00D115E3" w14:paraId="74E1F53A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75A050CC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05158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2248AB74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58E65908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7F26438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-1.49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48FB89CA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15E3" w14:paraId="46F4DC3E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1B89B306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05654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0CA5B7E3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4C8C369D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A17F2E3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-1.13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43CDBDBD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15E3" w14:paraId="37FF6FA6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3AB21588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07498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5CF0E888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2115995A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4A8D368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-1.60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6BC32215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DUF567 domain-containing protein </w:t>
            </w:r>
          </w:p>
        </w:tc>
      </w:tr>
      <w:tr w:rsidR="00D115E3" w14:paraId="3E771F7B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5D6AFC0F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06347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6C54B399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087AE0DB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D10F72A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-1.17</w:t>
            </w:r>
          </w:p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3EE6FCA5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15E3" w14:paraId="38F18158" w14:textId="77777777" w:rsidTr="006A6AA5">
        <w:trPr>
          <w:trHeight w:val="293"/>
        </w:trPr>
        <w:tc>
          <w:tcPr>
            <w:tcW w:w="89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AFF8DD8" w14:textId="77777777" w:rsidR="00D115E3" w:rsidRPr="004F1273" w:rsidRDefault="00D115E3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1273">
              <w:rPr>
                <w:rFonts w:ascii="Times New Roman" w:hAnsi="Times New Roman" w:cs="Times New Roman"/>
                <w:b/>
                <w:sz w:val="20"/>
                <w:szCs w:val="20"/>
              </w:rPr>
              <w:t>Genes differentially expressed in</w:t>
            </w:r>
            <w:r w:rsidRPr="004F127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F127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cna1</w:t>
            </w:r>
            <w:r w:rsidRPr="004F127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Δ </w:t>
            </w:r>
          </w:p>
        </w:tc>
      </w:tr>
      <w:tr w:rsidR="00D115E3" w14:paraId="65412CEB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23FBD9C6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04796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0FDE3B61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F1273">
              <w:rPr>
                <w:rFonts w:ascii="Times New Roman" w:hAnsi="Times New Roman" w:cs="Times New Roman"/>
                <w:i/>
                <w:sz w:val="20"/>
                <w:szCs w:val="20"/>
              </w:rPr>
              <w:t>CNA1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5B989F6D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-2.03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928F25E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02E6A47E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serine/threonine-protein phosphatase 2B catalytic subunit A1 </w:t>
            </w:r>
          </w:p>
        </w:tc>
      </w:tr>
      <w:tr w:rsidR="00D115E3" w14:paraId="70CF1D58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10652797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03538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13AC8BC6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5D7ADC15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D59F176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0E9121EC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D115E3" w14:paraId="5091BE80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54A5A52A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6375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71BE212F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260BFB9E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4C09379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5AE64FD6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D115E3" w14:paraId="09465308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024614B6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5331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55954649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5AB632E4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ACB338A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0084FF64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D115E3" w14:paraId="0D07B9DE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69EC1A1E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3051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21B2EFCB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68A5F657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1E85F44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0A9B909E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olyamine transporter </w:t>
            </w:r>
          </w:p>
        </w:tc>
      </w:tr>
      <w:tr w:rsidR="00D115E3" w14:paraId="4AAFB0DC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7C724386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2864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46956FA1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6DE84861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32DA9BA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09D4FB0C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15E3" w14:paraId="710D363E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5120CCEA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6203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7262183A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38486680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-1.21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C911909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757A549E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D115E3" w14:paraId="0979A424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22E6EAAD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5803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0FC5B5F5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F1273">
              <w:rPr>
                <w:rFonts w:ascii="Times New Roman" w:hAnsi="Times New Roman" w:cs="Times New Roman"/>
                <w:i/>
                <w:sz w:val="20"/>
                <w:szCs w:val="20"/>
              </w:rPr>
              <w:t>EXG1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2EE239F1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7D5A665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1A5D5459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F349D">
              <w:rPr>
                <w:rFonts w:ascii="Times New Roman" w:hAnsi="Times New Roman" w:cs="Times New Roman"/>
                <w:sz w:val="20"/>
                <w:szCs w:val="20"/>
              </w:rPr>
              <w:t>Exo-β-1,3-glucanase</w:t>
            </w:r>
          </w:p>
        </w:tc>
      </w:tr>
      <w:tr w:rsidR="00D115E3" w14:paraId="429CBF7D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1A9AA956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6598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3A5EFAD2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68C91511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-1.13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53A11A9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1FC423C3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D115E3" w14:paraId="1D600562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126AFB79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6082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2D3E1B5D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42AC806C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EC78D91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788EE7D0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elayed-type hypersensitivity antigen </w:t>
            </w:r>
          </w:p>
        </w:tc>
      </w:tr>
      <w:tr w:rsidR="00D115E3" w14:paraId="5E20A075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07BB4CF5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1621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37840A01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5F808847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0F8E34F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47352D88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D115E3" w14:paraId="6C660B92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24B8917B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5239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57B1E184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5E2569E1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C5BD047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49521114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ytoplasmic protein </w:t>
            </w:r>
          </w:p>
        </w:tc>
      </w:tr>
      <w:tr w:rsidR="00D115E3" w14:paraId="76523386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21D6E20B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2722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4BAA792A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65F730CC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-1.01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717FB91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4E1AD460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ldose reductase </w:t>
            </w:r>
          </w:p>
        </w:tc>
      </w:tr>
      <w:tr w:rsidR="00D115E3" w14:paraId="7239D9C7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4A8F94EA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6666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0150AAF4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0EBB133B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9DD87F1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02B4EECD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lycogen phosphorylase </w:t>
            </w:r>
          </w:p>
        </w:tc>
      </w:tr>
      <w:tr w:rsidR="00D115E3" w14:paraId="6D5AFE6B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3064A70D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1704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20695C97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0511CF8C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753D44D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0604486C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erine/threonine protein kinase </w:t>
            </w:r>
          </w:p>
        </w:tc>
      </w:tr>
      <w:tr w:rsidR="00D115E3" w14:paraId="1EEF896E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56DF4EFF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6009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4FE67DDA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5876FFA4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83A228C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194C4B40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yclohydrolase </w:t>
            </w:r>
          </w:p>
        </w:tc>
      </w:tr>
      <w:tr w:rsidR="00D115E3" w14:paraId="2A6D9ACB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6677F6C2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2264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23425A5A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4390FB6C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C0A3813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1F160294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AFG1-family ATPase </w:t>
            </w:r>
          </w:p>
        </w:tc>
      </w:tr>
      <w:tr w:rsidR="00D115E3" w14:paraId="0B631061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49D82BF9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4696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051BBB37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13E9D299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C40F21B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3294A3F7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DNA clamp loader </w:t>
            </w:r>
          </w:p>
        </w:tc>
      </w:tr>
      <w:tr w:rsidR="00D115E3" w14:paraId="69FA7D36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7277FDF3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4307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005653A2" w14:textId="77777777" w:rsidR="00D115E3" w:rsidRPr="008D1D4A" w:rsidRDefault="00D115E3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URO1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0AD3272D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1929B1A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50550DAD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ricase </w:t>
            </w:r>
          </w:p>
        </w:tc>
      </w:tr>
      <w:tr w:rsidR="00D115E3" w14:paraId="3412253A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49A278E0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1272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790417AB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2D0CE359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27A9A48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147DAAE7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D115E3" w14:paraId="6E1CA1DE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372AFC96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1949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0728CA28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42E014D5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98C00FA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7B0E493D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L-iditol 2-dehydrogenase </w:t>
            </w:r>
          </w:p>
        </w:tc>
      </w:tr>
      <w:tr w:rsidR="00D115E3" w14:paraId="0A7B0D1B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5B7AB377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2934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0D43B2C7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792E27E6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ABD97D0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5676111B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15E3" w14:paraId="153D2F08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2DB2858C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6918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34BA234D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63E919D6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09110EB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5842C99B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15E3" w14:paraId="64C086BE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6741FE2D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5662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69C0EDFF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ITR4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29772DD3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C25B77D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2DFD2D53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C4BD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Myo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-inositol</w:t>
            </w:r>
            <w:r w:rsidRPr="008D43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transporter</w:t>
            </w:r>
          </w:p>
        </w:tc>
      </w:tr>
      <w:tr w:rsidR="00D115E3" w14:paraId="5B7858D2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48FE0CB3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1223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553A1B86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313EBE1F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F1067F4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4370DA6D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115E3" w14:paraId="7E9D3A6B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32F4463C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0601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60372C62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3FAE9B78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88F2BB4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178C5B74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lycosyl hydrolase </w:t>
            </w:r>
          </w:p>
        </w:tc>
      </w:tr>
      <w:tr w:rsidR="00D115E3" w14:paraId="17859032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70D70D6F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3238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052B5131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69D66DA2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238DFD4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3AEFAB25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ioxygenase subfamily protein </w:t>
            </w:r>
          </w:p>
        </w:tc>
      </w:tr>
      <w:tr w:rsidR="00D115E3" w14:paraId="6CE935B9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</w:tcPr>
          <w:p w14:paraId="79F99B43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1562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</w:tcPr>
          <w:p w14:paraId="77C65604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14:paraId="0EDEE140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774093A" w14:textId="77777777" w:rsidR="00D115E3" w:rsidRDefault="00D115E3" w:rsidP="006A6AA5"/>
        </w:tc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</w:tcPr>
          <w:p w14:paraId="5992B9A8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F12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D115E3" w14:paraId="3DFB46EE" w14:textId="77777777" w:rsidTr="006A6AA5">
        <w:trPr>
          <w:trHeight w:val="293"/>
        </w:trPr>
        <w:tc>
          <w:tcPr>
            <w:tcW w:w="89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9BEF64A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F1273">
              <w:rPr>
                <w:rFonts w:ascii="Times New Roman" w:hAnsi="Times New Roman" w:cs="Times New Roman"/>
                <w:b/>
                <w:sz w:val="20"/>
                <w:szCs w:val="20"/>
              </w:rPr>
              <w:t>Genes differentially expressed in</w:t>
            </w:r>
            <w:r w:rsidRPr="004F127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F127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crz1</w:t>
            </w:r>
            <w:r w:rsidRPr="004F1273">
              <w:rPr>
                <w:rFonts w:ascii="Times New Roman" w:hAnsi="Times New Roman" w:cs="Times New Roman"/>
                <w:b/>
                <w:sz w:val="20"/>
                <w:szCs w:val="20"/>
              </w:rPr>
              <w:t>Δ</w:t>
            </w:r>
          </w:p>
        </w:tc>
      </w:tr>
      <w:tr w:rsidR="00D115E3" w14:paraId="3E4F4874" w14:textId="77777777" w:rsidTr="006A6AA5">
        <w:trPr>
          <w:trHeight w:val="293"/>
        </w:trPr>
        <w:tc>
          <w:tcPr>
            <w:tcW w:w="93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BDCEE54" w14:textId="77777777" w:rsidR="00D115E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00301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5AFEC80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910B834" w14:textId="77777777" w:rsidR="00D115E3" w:rsidRPr="004F1273" w:rsidRDefault="00D115E3" w:rsidP="006A6AA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177643B" w14:textId="77777777" w:rsidR="00D115E3" w:rsidRPr="004F1273" w:rsidRDefault="00D115E3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F1273">
              <w:rPr>
                <w:rFonts w:ascii="Times New Roman" w:hAnsi="Times New Roman" w:cs="Times New Roman"/>
                <w:sz w:val="20"/>
                <w:szCs w:val="20"/>
              </w:rPr>
              <w:t>-1.12</w:t>
            </w:r>
          </w:p>
        </w:tc>
        <w:tc>
          <w:tcPr>
            <w:tcW w:w="520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C4CEDE5" w14:textId="77777777" w:rsidR="00D115E3" w:rsidRPr="004F1273" w:rsidRDefault="00D115E3" w:rsidP="006A6A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029B50F4" w14:textId="77777777" w:rsidR="00D115E3" w:rsidRDefault="00D115E3"/>
    <w:sectPr w:rsidR="00D115E3" w:rsidSect="00F6794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5E3"/>
    <w:rsid w:val="0000249F"/>
    <w:rsid w:val="00057A6D"/>
    <w:rsid w:val="000B4384"/>
    <w:rsid w:val="001253AA"/>
    <w:rsid w:val="002D62C0"/>
    <w:rsid w:val="006600F1"/>
    <w:rsid w:val="00686718"/>
    <w:rsid w:val="009C5C2F"/>
    <w:rsid w:val="00AE56B4"/>
    <w:rsid w:val="00B91A18"/>
    <w:rsid w:val="00BB2A71"/>
    <w:rsid w:val="00C43BDC"/>
    <w:rsid w:val="00C716B6"/>
    <w:rsid w:val="00CB2454"/>
    <w:rsid w:val="00CB728E"/>
    <w:rsid w:val="00D115E3"/>
    <w:rsid w:val="00E854F9"/>
    <w:rsid w:val="00F6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4742F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D115E3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1100</Characters>
  <Application>Microsoft Macintosh Word</Application>
  <DocSecurity>0</DocSecurity>
  <Lines>9</Lines>
  <Paragraphs>2</Paragraphs>
  <ScaleCrop>false</ScaleCrop>
  <LinksUpToDate>false</LinksUpToDate>
  <CharactersWithSpaces>1290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</dc:creator>
  <cp:keywords/>
  <dc:description/>
  <cp:lastModifiedBy>Eve</cp:lastModifiedBy>
  <cp:revision>2</cp:revision>
  <dcterms:created xsi:type="dcterms:W3CDTF">2016-07-08T20:32:00Z</dcterms:created>
  <dcterms:modified xsi:type="dcterms:W3CDTF">2016-07-08T20:34:00Z</dcterms:modified>
</cp:coreProperties>
</file>