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62" w:rsidRDefault="00C47639">
      <w:pPr>
        <w:spacing w:after="199"/>
        <w:ind w:right="2523"/>
        <w:jc w:val="right"/>
      </w:pPr>
      <w:r>
        <w:rPr>
          <w:b/>
          <w:sz w:val="36"/>
          <w:u w:val="single" w:color="000000"/>
        </w:rPr>
        <w:t>DAILY ASSESSMENT FORMAT</w:t>
      </w:r>
      <w:r>
        <w:rPr>
          <w:b/>
          <w:sz w:val="36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3865"/>
        <w:gridCol w:w="1335"/>
        <w:gridCol w:w="3509"/>
      </w:tblGrid>
      <w:tr w:rsidR="000D6562">
        <w:trPr>
          <w:trHeight w:val="30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Date: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>17-06-20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Name: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proofErr w:type="spellStart"/>
            <w:r>
              <w:rPr>
                <w:b/>
                <w:sz w:val="24"/>
              </w:rPr>
              <w:t>Rachana</w:t>
            </w:r>
            <w:proofErr w:type="spellEnd"/>
            <w:r>
              <w:rPr>
                <w:b/>
                <w:sz w:val="24"/>
              </w:rPr>
              <w:t xml:space="preserve"> C </w:t>
            </w:r>
            <w:proofErr w:type="spellStart"/>
            <w:r>
              <w:rPr>
                <w:b/>
                <w:sz w:val="24"/>
              </w:rPr>
              <w:t>Hulikatti</w:t>
            </w:r>
            <w:proofErr w:type="spellEnd"/>
          </w:p>
        </w:tc>
      </w:tr>
      <w:tr w:rsidR="000D6562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Course: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 </w:t>
            </w:r>
            <w:r>
              <w:rPr>
                <w:b/>
              </w:rPr>
              <w:t>Statistical Learning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USN: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>4al17ec108</w:t>
            </w:r>
          </w:p>
        </w:tc>
      </w:tr>
      <w:tr w:rsidR="000D6562">
        <w:trPr>
          <w:trHeight w:val="59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Topic: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t>Bayes theorem Normal distribution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Semester &amp; Section: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B</w:t>
            </w:r>
          </w:p>
        </w:tc>
      </w:tr>
      <w:tr w:rsidR="000D6562">
        <w:trPr>
          <w:trHeight w:val="59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0D6562"/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r>
              <w:rPr>
                <w:b/>
                <w:sz w:val="24"/>
              </w:rPr>
              <w:t xml:space="preserve"> </w:t>
            </w:r>
          </w:p>
        </w:tc>
      </w:tr>
    </w:tbl>
    <w:p w:rsidR="000D6562" w:rsidRDefault="00C47639">
      <w:pPr>
        <w:spacing w:after="188"/>
      </w:pPr>
      <w:r>
        <w:rPr>
          <w:b/>
          <w:sz w:val="24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53" w:type="dxa"/>
          <w:left w:w="105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0072"/>
      </w:tblGrid>
      <w:tr w:rsidR="000D6562"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pPr>
              <w:jc w:val="center"/>
            </w:pPr>
            <w:r>
              <w:rPr>
                <w:b/>
                <w:sz w:val="24"/>
              </w:rPr>
              <w:t xml:space="preserve">FORENOON SESSION DETAILS </w:t>
            </w:r>
          </w:p>
        </w:tc>
      </w:tr>
      <w:tr w:rsidR="000D6562"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0D6562">
            <w:pPr>
              <w:spacing w:line="240" w:lineRule="auto"/>
              <w:ind w:left="3"/>
            </w:pPr>
            <w:bookmarkStart w:id="0" w:name="_GoBack"/>
            <w:bookmarkEnd w:id="0"/>
          </w:p>
          <w:p w:rsidR="000D6562" w:rsidRDefault="000D6562">
            <w:pPr>
              <w:spacing w:after="36" w:line="240" w:lineRule="auto"/>
              <w:jc w:val="right"/>
            </w:pPr>
          </w:p>
          <w:p w:rsidR="000D6562" w:rsidRDefault="00C47639">
            <w:pPr>
              <w:spacing w:after="36" w:line="240" w:lineRule="auto"/>
              <w:ind w:left="3"/>
            </w:pPr>
            <w:r>
              <w:rPr>
                <w:b/>
                <w:sz w:val="24"/>
              </w:rPr>
              <w:t xml:space="preserve"> </w:t>
            </w:r>
          </w:p>
          <w:p w:rsidR="000D6562" w:rsidRDefault="00C47639">
            <w:pPr>
              <w:ind w:left="3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0D6562"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62" w:rsidRDefault="00C47639">
            <w:pPr>
              <w:spacing w:after="284"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Bayes’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Theorem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way of finding a </w:t>
            </w:r>
            <w:hyperlink r:id="rId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probability</w:t>
              </w:r>
            </w:hyperlink>
            <w:hyperlink r:id="rId5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when we know certain other probabilities.  </w:t>
            </w:r>
          </w:p>
          <w:p w:rsidR="000D6562" w:rsidRDefault="00C47639">
            <w:pPr>
              <w:spacing w:after="277"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formula is: </w:t>
            </w:r>
          </w:p>
          <w:p w:rsidR="000D6562" w:rsidRDefault="00C47639">
            <w:pPr>
              <w:spacing w:after="308"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P(A|B) =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P(A) P(B|A)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P(B) </w:t>
            </w:r>
          </w:p>
          <w:p w:rsidR="000D6562" w:rsidRDefault="00C47639">
            <w:pPr>
              <w:spacing w:after="279" w:line="237" w:lineRule="auto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The normal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distribution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most important probability distribution in</w:t>
            </w:r>
            <w:hyperlink r:id="rId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statistics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>because it fits many natural phenomena. For example, heights, blood pressure, measurement error, and IQ scores follow the normal distribution. It is also known as the Gaussian 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istribution and the bell curve. </w:t>
            </w:r>
          </w:p>
          <w:p w:rsidR="000D6562" w:rsidRDefault="00C47639">
            <w:pPr>
              <w:spacing w:line="234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The normal distribution is a probability function that describes how the values of a variable are distributed. It is a symmetric distribution where most of the observations cluster around the central peak and the probabilit</w:t>
            </w:r>
            <w:r>
              <w:rPr>
                <w:rFonts w:ascii="Times New Roman" w:eastAsia="Times New Roman" w:hAnsi="Times New Roman" w:cs="Times New Roman"/>
                <w:sz w:val="24"/>
              </w:rPr>
              <w:t>ies for values further away from the</w:t>
            </w:r>
            <w:hyperlink r:id="rId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mean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>taper off equally in both di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rections. </w:t>
            </w:r>
          </w:p>
          <w:p w:rsidR="000D6562" w:rsidRDefault="00C476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Extreme values in both tails of the distribution are similarly unlikely. </w:t>
            </w:r>
          </w:p>
        </w:tc>
      </w:tr>
    </w:tbl>
    <w:p w:rsidR="000D6562" w:rsidRDefault="00C4763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0" w:line="234" w:lineRule="auto"/>
        <w:ind w:left="113"/>
      </w:pPr>
      <w:r>
        <w:rPr>
          <w:rFonts w:ascii="Times New Roman" w:eastAsia="Times New Roman" w:hAnsi="Times New Roman" w:cs="Times New Roman"/>
          <w:sz w:val="24"/>
        </w:rPr>
        <w:t>In this blog post, you’ll learn how to use the normal distribution, its</w:t>
      </w:r>
      <w:hyperlink r:id="rId1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parameters</w:t>
        </w:r>
      </w:hyperlink>
      <w:hyperlink r:id="rId14">
        <w:r>
          <w:rPr>
            <w:rFonts w:ascii="Times New Roman" w:eastAsia="Times New Roman" w:hAnsi="Times New Roman" w:cs="Times New Roman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sz w:val="24"/>
        </w:rPr>
        <w:t xml:space="preserve"> and how to calculate Z-scores to standardize your data and find probabilities. </w:t>
      </w:r>
    </w:p>
    <w:p w:rsidR="000D6562" w:rsidRDefault="00C4763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7" w:line="240" w:lineRule="auto"/>
        <w:ind w:left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6562" w:rsidRDefault="00C4763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" w:line="240" w:lineRule="auto"/>
        <w:ind w:left="1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6562" w:rsidRDefault="00C47639">
      <w:pPr>
        <w:spacing w:after="219" w:line="240" w:lineRule="auto"/>
      </w:pPr>
      <w:r>
        <w:rPr>
          <w:b/>
          <w:sz w:val="24"/>
        </w:rPr>
        <w:t xml:space="preserve"> </w:t>
      </w:r>
    </w:p>
    <w:p w:rsidR="000D6562" w:rsidRDefault="00C47639">
      <w:pPr>
        <w:spacing w:line="240" w:lineRule="auto"/>
      </w:pPr>
      <w:r>
        <w:rPr>
          <w:b/>
          <w:sz w:val="24"/>
        </w:rPr>
        <w:t xml:space="preserve"> </w:t>
      </w:r>
    </w:p>
    <w:sectPr w:rsidR="000D6562">
      <w:pgSz w:w="12240" w:h="15840"/>
      <w:pgMar w:top="1120" w:right="1342" w:bottom="146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62"/>
    <w:rsid w:val="000D6562"/>
    <w:rsid w:val="00C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7DC2B-D1B7-4C22-AA6D-36BE8751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byjim.com/glossary/statistics/" TargetMode="External"/><Relationship Id="rId13" Type="http://schemas.openxmlformats.org/officeDocument/2006/relationships/hyperlink" Target="https://statisticsbyjim.com/glossary/parame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sticsbyjim.com/glossary/statistics/" TargetMode="External"/><Relationship Id="rId12" Type="http://schemas.openxmlformats.org/officeDocument/2006/relationships/hyperlink" Target="https://statisticsbyjim.com/glossary/paramet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tisticsbyjim.com/glossary/statistics/" TargetMode="External"/><Relationship Id="rId11" Type="http://schemas.openxmlformats.org/officeDocument/2006/relationships/hyperlink" Target="https://statisticsbyjim.com/glossary/mean/" TargetMode="External"/><Relationship Id="rId5" Type="http://schemas.openxmlformats.org/officeDocument/2006/relationships/hyperlink" Target="https://www.mathsisfun.com/data/probabilit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tisticsbyjim.com/glossary/mean/" TargetMode="External"/><Relationship Id="rId4" Type="http://schemas.openxmlformats.org/officeDocument/2006/relationships/hyperlink" Target="https://www.mathsisfun.com/data/probability.html" TargetMode="External"/><Relationship Id="rId9" Type="http://schemas.openxmlformats.org/officeDocument/2006/relationships/hyperlink" Target="https://statisticsbyjim.com/glossary/mean/" TargetMode="External"/><Relationship Id="rId14" Type="http://schemas.openxmlformats.org/officeDocument/2006/relationships/hyperlink" Target="https://statisticsbyjim.com/glossary/para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CBS 3</cp:lastModifiedBy>
  <cp:revision>2</cp:revision>
  <dcterms:created xsi:type="dcterms:W3CDTF">2020-06-25T07:31:00Z</dcterms:created>
  <dcterms:modified xsi:type="dcterms:W3CDTF">2020-06-25T07:31:00Z</dcterms:modified>
</cp:coreProperties>
</file>