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«Административное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Субъекты административного права, их характеристика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субъектов административного права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Классификация субъектов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Особенности правового положения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субъектов административного права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Субъекты административного права — участники административных правоотношений, обладающие административной правосубъектностью.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Административная правосубъектность включает способность иметь административные права и обязанности, а также нести административную ответственность.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Классификация субъектов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Органы исполнительной власти: федеральные, региональные, местные. Осуществляют функции по управлению и контролю.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Должностные лица — физические лица, наделённые властными полномочиями в рамках служебных обязанностей.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Граждане (физические лица) — как объекты административного контроля и как носители прав в административном судопроизводстве.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Юридические лица, индивидуальные предприниматели — в сфере лицензирования, контроля, административной ответственности.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Особенности правового положения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Органы власти действуют на основе законности, в пределах компетенции, с соблюдением процедур. Граждане вправе обжаловать незаконные акты и действия.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Разграничение полномочий между уровнями власти закреплено в Конституции и федеральном законодательстве.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