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«Уголовное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Особенности правового института «Особо тяжкие преступления»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Категории преступлений по степени тяжести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Особенности правового института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Примеры и правоприменение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Категории преступлений по степени тяжести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УК РФ делит преступления на четыре категории: небольшой тяжести, средней тяжести, тяжкие и особо тяжкие (ст. 15 УК РФ). Категория определяется по максимальному наказанию.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Особо тяжкое преступление — деяние, за которое предусмотрено наказание свыше 10 лет лишения свободы или более строгое наказание.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Особенности правового института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особо тяжких преступлений установлены повышенные сроки наказания, ограничения на применение условного осуждения, отсрочки отбывания наказания.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Сроки давности привлечения к уголовной ответственности увеличены (15 лет для особо тяжких). Особый порядок условно-досрочного освобождения.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Пожизненное лишение свободы как исключительная мера применяется только за особо тяжкие преступления против жизни при наличии отягчающих обстоятельств.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Примеры и правоприменение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особо тяжким относятся: убийство при отягчающих обстоятельствах, бандитизм, терроризм, торговля людьми, ряд коррупционных преступлений крупного масштаба.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Суд при назначении наказания учитывает характер и степень общественной опасности, личность виновного, смягчающие и отягчающие обстоятельства.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