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Министерство науки и высшего образования РФ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Российский государственный гидрометеорологический университет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Кафедра национальной безопасности и международного права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Дисциплина: «Экономика»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Задача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Тема: Эластичность и категория товара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left"/>
      </w:pPr>
      <w:r>
        <w:rPr>
          <w:rFonts w:ascii="Times New Roman" w:hAnsi="Times New Roman" w:eastAsia="Times New Roman"/>
          <w:b w:val="0"/>
          <w:sz w:val="28"/>
        </w:rPr>
        <w:t>Подготовили:</w:t>
      </w:r>
    </w:p>
    <w:p>
      <w:pPr>
        <w:jc w:val="left"/>
      </w:pPr>
      <w:r>
        <w:rPr>
          <w:rFonts w:ascii="Times New Roman" w:hAnsi="Times New Roman" w:eastAsia="Times New Roman"/>
          <w:b w:val="0"/>
          <w:sz w:val="28"/>
        </w:rPr>
        <w:t>студенты гр. ПИ-Б24-1</w:t>
      </w:r>
    </w:p>
    <w:p>
      <w:pPr>
        <w:jc w:val="left"/>
      </w:pPr>
      <w:r>
        <w:rPr>
          <w:rFonts w:ascii="Times New Roman" w:hAnsi="Times New Roman" w:eastAsia="Times New Roman"/>
          <w:b w:val="0"/>
          <w:sz w:val="28"/>
        </w:rPr>
        <w:t>Абулашвили Рамзес Тристанович</w:t>
      </w:r>
    </w:p>
    <w:p>
      <w:pPr>
        <w:jc w:val="left"/>
      </w:pPr>
      <w:r>
        <w:rPr>
          <w:rFonts w:ascii="Times New Roman" w:hAnsi="Times New Roman" w:eastAsia="Times New Roman"/>
          <w:b w:val="0"/>
          <w:sz w:val="28"/>
        </w:rPr>
        <w:t>Проверил:  доцент, к.и.н. Арапов С.В.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Санкт-Петербург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2026</w:t>
      </w:r>
    </w:p>
    <w:p>
      <w:r>
        <w:br w:type="page"/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Условие задачи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При доходе покупателя 2300 ден. ед. объём спроса — 5 ед.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При доходе 2500 ден. ед. объём спроса — 6 ед.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 какой категории относится товар?</w:t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Решение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ΔQ/Q = (6 − 5) / 5 = 0,2.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ΔI/I = (2500 − 2300) / 2300 ≈ 0,087.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EI = 0,2 / 0,087 ≈ 2,3.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Поскольку EI &gt; 1, спрос эластичен по доходу.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Ответ: товар относится к категории предметов роскоши (товаров повышенного спроса).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