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«Конституционное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Система органов государственной власти 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Принципы организации государственной власти в РФ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Федеральные органы государственной власти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Региональные и местные органы власти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Принципы организации государственной власти в РФ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Конституция РФ закрепляет принципы народовластия, разделения властей, федеративного устройства, самоопределения народов, законности и правового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Государственная власть в РФ осуществляется на основе разделения на законодательную, исполнительную и судебную. Они самостоятельны и сдерживают друг друга.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Федеральные органы государственной власти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Президент РФ — глава государства, гарант Конституции, определяет основные направления внутренней и внешней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Федеральное Собрание — парламент, состоящий из Государственной Думы и Совета Федерации. Обладает исключительным правом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Правительство РФ — высший исполнительный орган, обеспечивает проведение единой государственной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Судебная система: Конституционный Суд, Верховный Суд, федеральные суды общей юрисдикции и арбитражные суды.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Региональные и местные органы власти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субъектах РФ действуют законодательные (парламенты) и исполнительные (правительства, администрации) органы, а также суды.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Местное самоуправление осуществляется населением через представительные и исполнительные органы муниципальных образований.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