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Parameter values:</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both of as-is model and q2 model, we set </w:t>
      </w:r>
      <w:r w:rsidDel="00000000" w:rsidR="00000000" w:rsidRPr="00000000">
        <w:rPr>
          <w:rFonts w:ascii="Times New Roman" w:cs="Times New Roman" w:eastAsia="Times New Roman" w:hAnsi="Times New Roman"/>
          <w:rtl w:val="0"/>
        </w:rPr>
        <w:t xml:space="preserve">one month consists of 25 working days, one day consists of 8 working hours and one week consists of 5 working days. Our mean is 450 and our bin is 1h.</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1.as-is (</w:t>
      </w:r>
      <w:r w:rsidDel="00000000" w:rsidR="00000000" w:rsidRPr="00000000">
        <w:rPr>
          <w:rFonts w:ascii="Times New Roman" w:cs="Times New Roman" w:eastAsia="Times New Roman" w:hAnsi="Times New Roman"/>
          <w:b w:val="1"/>
          <w:color w:val="1d2125"/>
          <w:shd w:fill="f8f9fa" w:val="clear"/>
          <w:rtl w:val="0"/>
        </w:rPr>
        <w:t xml:space="preserve">Mean=450)</w:t>
      </w: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005">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Activity Durations:</w:t>
      </w:r>
      <w:r w:rsidDel="00000000" w:rsidR="00000000" w:rsidRPr="00000000">
        <w:rPr>
          <w:rFonts w:ascii="Times New Roman" w:cs="Times New Roman" w:eastAsia="Times New Roman" w:hAnsi="Times New Roman"/>
          <w:rtl w:val="0"/>
        </w:rPr>
        <w:t xml:space="preserve"> The transition from “Register Request” to “Check Credits” and “Disable Incoming Transaction” shows moderate delays, indicating stable but suboptimal processing.</w:t>
      </w:r>
    </w:p>
    <w:p w:rsidR="00000000" w:rsidDel="00000000" w:rsidP="00000000" w:rsidRDefault="00000000" w:rsidRPr="00000000" w14:paraId="00000007">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Bottlenecks:</w:t>
      </w:r>
      <w:r w:rsidDel="00000000" w:rsidR="00000000" w:rsidRPr="00000000">
        <w:rPr>
          <w:rFonts w:ascii="Times New Roman" w:cs="Times New Roman" w:eastAsia="Times New Roman" w:hAnsi="Times New Roman"/>
          <w:rtl w:val="0"/>
        </w:rPr>
        <w:t xml:space="preserve"> The “Review the case for potential fraud” activity exhibits high variability in duration (wide orange bands), suggesting inconsistent handling due to limited resources or manual processes.</w:t>
      </w:r>
    </w:p>
    <w:p w:rsidR="00000000" w:rsidDel="00000000" w:rsidP="00000000" w:rsidRDefault="00000000" w:rsidRPr="00000000" w14:paraId="00000008">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Case Throughput (Woped):</w:t>
      </w:r>
      <w:r w:rsidDel="00000000" w:rsidR="00000000" w:rsidRPr="00000000">
        <w:rPr>
          <w:rFonts w:ascii="Times New Roman" w:cs="Times New Roman" w:eastAsia="Times New Roman" w:hAnsi="Times New Roman"/>
          <w:rtl w:val="0"/>
        </w:rPr>
        <w:t xml:space="preserve"> Simulations yield ~148 cases . Assuming each simulation represents a month, Q1’s capacity is approximately 148 cases/month.</w:t>
      </w:r>
    </w:p>
    <w:p w:rsidR="00000000" w:rsidDel="00000000" w:rsidP="00000000" w:rsidRDefault="00000000" w:rsidRPr="00000000" w14:paraId="00000009">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Spectrum Patterns:</w:t>
      </w:r>
      <w:r w:rsidDel="00000000" w:rsidR="00000000" w:rsidRPr="00000000">
        <w:rPr>
          <w:rFonts w:ascii="Times New Roman" w:cs="Times New Roman" w:eastAsia="Times New Roman" w:hAnsi="Times New Roman"/>
          <w:rtl w:val="0"/>
        </w:rPr>
        <w:t xml:space="preserve"> Frequent orange lines in fraud review and external investigation steps indicate delays, limiting throughput and scalability.</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Limitations:</w:t>
      </w:r>
      <w:r w:rsidDel="00000000" w:rsidR="00000000" w:rsidRPr="00000000">
        <w:rPr>
          <w:rFonts w:ascii="Times New Roman" w:cs="Times New Roman" w:eastAsia="Times New Roman" w:hAnsi="Times New Roman"/>
          <w:rtl w:val="0"/>
        </w:rPr>
        <w:t xml:space="preserve"> Resource constraints in fraud review create inefficiencies, as seen in the spectrum’s prolonged durations, aligning with the modest throughput in Woped simulations.</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drawing>
          <wp:inline distB="114300" distT="114300" distL="114300" distR="114300">
            <wp:extent cx="3069928" cy="8234363"/>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3069928" cy="8234363"/>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Figure1. Performance Spectrum Before Organizational Restructuring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2.q2(</w:t>
      </w:r>
      <w:r w:rsidDel="00000000" w:rsidR="00000000" w:rsidRPr="00000000">
        <w:rPr>
          <w:rFonts w:ascii="Times New Roman" w:cs="Times New Roman" w:eastAsia="Times New Roman" w:hAnsi="Times New Roman"/>
          <w:b w:val="1"/>
          <w:color w:val="1d2125"/>
          <w:sz w:val="23"/>
          <w:szCs w:val="23"/>
          <w:shd w:fill="f8f9fa" w:val="clear"/>
          <w:rtl w:val="0"/>
        </w:rPr>
        <w:t xml:space="preserve">Mean=450)</w:t>
      </w:r>
      <w:r w:rsidDel="00000000" w:rsidR="00000000" w:rsidRPr="00000000">
        <w:rPr>
          <w:rFonts w:ascii="Gungsuh" w:cs="Gungsuh" w:eastAsia="Gungsuh" w:hAnsi="Gungsuh"/>
          <w:b w:val="1"/>
          <w:sz w:val="24"/>
          <w:szCs w:val="24"/>
          <w:rtl w:val="0"/>
        </w:rPr>
        <w:t xml:space="preserve">：</w:t>
      </w:r>
    </w:p>
    <w:p w:rsidR="00000000" w:rsidDel="00000000" w:rsidP="00000000" w:rsidRDefault="00000000" w:rsidRPr="00000000" w14:paraId="0000002C">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Improved Activity Durations:</w:t>
      </w:r>
      <w:r w:rsidDel="00000000" w:rsidR="00000000" w:rsidRPr="00000000">
        <w:rPr>
          <w:rFonts w:ascii="Times New Roman" w:cs="Times New Roman" w:eastAsia="Times New Roman" w:hAnsi="Times New Roman"/>
          <w:rtl w:val="0"/>
        </w:rPr>
        <w:t xml:space="preserve"> The “Review the case for potential fraud” activity shows reduced variability and shorter durations compared to Q1 , indicating that additional resources streamlined this step.</w:t>
      </w:r>
    </w:p>
    <w:p w:rsidR="00000000" w:rsidDel="00000000" w:rsidP="00000000" w:rsidRDefault="00000000" w:rsidRPr="00000000" w14:paraId="0000002D">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Reduced Bottlenecks:</w:t>
      </w:r>
      <w:r w:rsidDel="00000000" w:rsidR="00000000" w:rsidRPr="00000000">
        <w:rPr>
          <w:rFonts w:ascii="Times New Roman" w:cs="Times New Roman" w:eastAsia="Times New Roman" w:hAnsi="Times New Roman"/>
          <w:rtl w:val="0"/>
        </w:rPr>
        <w:t xml:space="preserve"> Transitions like “Disable Incoming Transaction” and “Send Rejection Letter” have tighter duration bands, reflecting consistent processing times.</w:t>
      </w:r>
    </w:p>
    <w:p w:rsidR="00000000" w:rsidDel="00000000" w:rsidP="00000000" w:rsidRDefault="00000000" w:rsidRPr="00000000" w14:paraId="0000002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Case Throughput (Woped): </w:t>
      </w:r>
      <w:r w:rsidDel="00000000" w:rsidR="00000000" w:rsidRPr="00000000">
        <w:rPr>
          <w:rFonts w:ascii="Times New Roman" w:cs="Times New Roman" w:eastAsia="Times New Roman" w:hAnsi="Times New Roman"/>
          <w:rtl w:val="0"/>
        </w:rPr>
        <w:t xml:space="preserve">Simulations yield ~212 cases, a 43.24% increase over Q1’s ~149 cases. Assuming a monthly period, Q2’s capacity is approximately 212 cases/month.</w:t>
      </w:r>
    </w:p>
    <w:p w:rsidR="00000000" w:rsidDel="00000000" w:rsidP="00000000" w:rsidRDefault="00000000" w:rsidRPr="00000000" w14:paraId="0000002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Spectrum Patterns:</w:t>
      </w:r>
      <w:r w:rsidDel="00000000" w:rsidR="00000000" w:rsidRPr="00000000">
        <w:rPr>
          <w:rFonts w:ascii="Times New Roman" w:cs="Times New Roman" w:eastAsia="Times New Roman" w:hAnsi="Times New Roman"/>
          <w:rtl w:val="0"/>
        </w:rPr>
        <w:t xml:space="preserve"> Q2’s spectrum shows fewer orange lines and more compact duration bands, especially for fraud review, suggesting improved flow and reduced wait times.</w:t>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Resource Impact:</w:t>
      </w:r>
      <w:r w:rsidDel="00000000" w:rsidR="00000000" w:rsidRPr="00000000">
        <w:rPr>
          <w:rFonts w:ascii="Times New Roman" w:cs="Times New Roman" w:eastAsia="Times New Roman" w:hAnsi="Times New Roman"/>
          <w:rtl w:val="0"/>
        </w:rPr>
        <w:t xml:space="preserve"> Role reassignments likely redistributed workload from overburdened staff (e.g., fraud reviewers) to underutilized ones, boosting throughput.</w:t>
      </w:r>
    </w:p>
    <w:p w:rsidR="00000000" w:rsidDel="00000000" w:rsidP="00000000" w:rsidRDefault="00000000" w:rsidRPr="00000000" w14:paraId="00000031">
      <w:pPr>
        <w:spacing w:after="240" w:before="240" w:lineRule="auto"/>
        <w:jc w:val="center"/>
        <w:rPr/>
      </w:pPr>
      <w:r w:rsidDel="00000000" w:rsidR="00000000" w:rsidRPr="00000000">
        <w:rPr/>
        <w:drawing>
          <wp:inline distB="114300" distT="114300" distL="114300" distR="114300">
            <wp:extent cx="3475931" cy="7367588"/>
            <wp:effectExtent b="0" l="0" r="0" t="0"/>
            <wp:docPr id="3"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3475931" cy="7367588"/>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Figure2. Performance Spectrum After Organizational Restructuring</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114300</wp:posOffset>
            </wp:positionH>
            <wp:positionV relativeFrom="paragraph">
              <wp:posOffset>8426176</wp:posOffset>
            </wp:positionV>
            <wp:extent cx="2240707" cy="4751180"/>
            <wp:effectExtent b="0" l="0" r="0" t="0"/>
            <wp:wrapNone/>
            <wp:docPr id="4"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2240707" cy="475118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114300</wp:posOffset>
            </wp:positionH>
            <wp:positionV relativeFrom="paragraph">
              <wp:posOffset>8426176</wp:posOffset>
            </wp:positionV>
            <wp:extent cx="2240707" cy="4751180"/>
            <wp:effectExtent b="0" l="0" r="0" t="0"/>
            <wp:wrapNone/>
            <wp:docPr id="5"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2240707" cy="4751180"/>
                    </a:xfrm>
                    <a:prstGeom prst="rect"/>
                    <a:ln/>
                  </pic:spPr>
                </pic:pic>
              </a:graphicData>
            </a:graphic>
          </wp:anchor>
        </w:drawing>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sz w:val="24"/>
          <w:szCs w:val="24"/>
        </w:rPr>
      </w:pPr>
      <w:r w:rsidDel="00000000" w:rsidR="00000000" w:rsidRPr="00000000">
        <w:rPr>
          <w:rFonts w:ascii="Gungsuh" w:cs="Gungsuh" w:eastAsia="Gungsuh" w:hAnsi="Gungsuh"/>
          <w:b w:val="1"/>
          <w:sz w:val="24"/>
          <w:szCs w:val="24"/>
          <w:rtl w:val="0"/>
        </w:rPr>
        <w:t xml:space="preserve">3.Dotted Chart Analyse：</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as-is Resource Patterns:</w:t>
      </w:r>
      <w:r w:rsidDel="00000000" w:rsidR="00000000" w:rsidRPr="00000000">
        <w:rPr>
          <w:rFonts w:ascii="Times New Roman" w:cs="Times New Roman" w:eastAsia="Times New Roman" w:hAnsi="Times New Roman"/>
          <w:rtl w:val="0"/>
        </w:rPr>
        <w:t xml:space="preserve">The dots of  “Review the case for potential fraud” are densely packed for certain resources, indicating overburdened staff. The dots of “Send Rejection Letter” are sparse, suggesting underutilized roles.</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q2 Resource Patterns: </w:t>
      </w:r>
      <w:r w:rsidDel="00000000" w:rsidR="00000000" w:rsidRPr="00000000">
        <w:rPr>
          <w:rFonts w:ascii="Times New Roman" w:cs="Times New Roman" w:eastAsia="Times New Roman" w:hAnsi="Times New Roman"/>
          <w:rtl w:val="0"/>
        </w:rPr>
        <w:t xml:space="preserve">The dots of  “Review the case for potential fraud”  are more evenly distributed, with fewer overlaps, showing that fraud review tasks are shared across more staff. The dots of “Send Rejection Letter,”  and “Inform Customer” are denser, reflecting increased activity by reassigned resources.</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Impact of Resource Changes: </w:t>
      </w:r>
      <w:r w:rsidDel="00000000" w:rsidR="00000000" w:rsidRPr="00000000">
        <w:rPr>
          <w:rFonts w:ascii="Times New Roman" w:cs="Times New Roman" w:eastAsia="Times New Roman" w:hAnsi="Times New Roman"/>
          <w:rtl w:val="0"/>
        </w:rPr>
        <w:t xml:space="preserve">Q2’s balanced workload reduces bottlenecks in fraud review and leverages idle capacity, contributing to the 43.24% throughput increase (212 vs. 148 cases).</w:t>
      </w:r>
    </w:p>
    <w:p w:rsidR="00000000" w:rsidDel="00000000" w:rsidP="00000000" w:rsidRDefault="00000000" w:rsidRPr="00000000" w14:paraId="0000003F">
      <w:pPr>
        <w:rPr>
          <w:b w:val="1"/>
          <w:sz w:val="24"/>
          <w:szCs w:val="24"/>
        </w:rPr>
      </w:pPr>
      <w:r w:rsidDel="00000000" w:rsidR="00000000" w:rsidRPr="00000000">
        <w:rPr>
          <w:rtl w:val="0"/>
        </w:rPr>
      </w:r>
    </w:p>
    <w:p w:rsidR="00000000" w:rsidDel="00000000" w:rsidP="00000000" w:rsidRDefault="00000000" w:rsidRPr="00000000" w14:paraId="00000040">
      <w:pPr>
        <w:rPr>
          <w:b w:val="1"/>
          <w:sz w:val="24"/>
          <w:szCs w:val="24"/>
        </w:rPr>
      </w:pPr>
      <w:r w:rsidDel="00000000" w:rsidR="00000000" w:rsidRPr="00000000">
        <w:rPr>
          <w:rtl w:val="0"/>
        </w:rPr>
      </w:r>
    </w:p>
    <w:p w:rsidR="00000000" w:rsidDel="00000000" w:rsidP="00000000" w:rsidRDefault="00000000" w:rsidRPr="00000000" w14:paraId="00000041">
      <w:pPr>
        <w:rPr>
          <w:b w:val="1"/>
          <w:sz w:val="24"/>
          <w:szCs w:val="24"/>
        </w:rPr>
      </w:pPr>
      <w:r w:rsidDel="00000000" w:rsidR="00000000" w:rsidRPr="00000000">
        <w:rPr>
          <w:rtl w:val="0"/>
        </w:rPr>
      </w:r>
    </w:p>
    <w:p w:rsidR="00000000" w:rsidDel="00000000" w:rsidP="00000000" w:rsidRDefault="00000000" w:rsidRPr="00000000" w14:paraId="00000042">
      <w:pPr>
        <w:jc w:val="center"/>
        <w:rPr>
          <w:b w:val="1"/>
          <w:sz w:val="24"/>
          <w:szCs w:val="24"/>
        </w:rPr>
      </w:pPr>
      <w:r w:rsidDel="00000000" w:rsidR="00000000" w:rsidRPr="00000000">
        <w:rPr>
          <w:b w:val="1"/>
          <w:sz w:val="24"/>
          <w:szCs w:val="24"/>
        </w:rPr>
        <w:drawing>
          <wp:inline distB="114300" distT="114300" distL="114300" distR="114300">
            <wp:extent cx="4759743" cy="5210417"/>
            <wp:effectExtent b="0" l="0" r="0" t="0"/>
            <wp:docPr id="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4759743" cy="5210417"/>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sz w:val="16"/>
          <w:szCs w:val="16"/>
          <w:rtl w:val="0"/>
        </w:rPr>
        <w:t xml:space="preserve">Figure3. Dotted Chart Before Organizational Restructuring VS Dotted Chart After Organizational Restructuring</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4.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