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cconfb7wru4a" w:id="0"/>
      <w:bookmarkEnd w:id="0"/>
      <w:r w:rsidDel="00000000" w:rsidR="00000000" w:rsidRPr="00000000">
        <w:rPr>
          <w:b w:val="1"/>
          <w:color w:val="000000"/>
          <w:sz w:val="26"/>
          <w:szCs w:val="26"/>
          <w:rtl w:val="0"/>
        </w:rPr>
        <w:t xml:space="preserve">1.Problem Context</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process suffers from delays in the fraud investigation stage, due to limited resource availability. As a potential improvement, we explored whether changing the role or group of employees—without violating the regulation that no employee can hold more than one role or group—could help enhance the process efficiency.</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wwyqm1y6myp8" w:id="1"/>
      <w:bookmarkEnd w:id="1"/>
      <w:r w:rsidDel="00000000" w:rsidR="00000000" w:rsidRPr="00000000">
        <w:rPr>
          <w:b w:val="1"/>
          <w:color w:val="000000"/>
          <w:sz w:val="26"/>
          <w:szCs w:val="26"/>
          <w:rtl w:val="0"/>
        </w:rPr>
        <w:t xml:space="preserve">2. The Adjustment</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reassigned Paul, who originally worked as a CRM Officer in the CRM department, to the fraud investigation department with the new role of Fraud Investigator. This was done in compliance with the restriction that each employee must belong to only one group and role.</w:t>
      </w:r>
    </w:p>
    <w:p w:rsidR="00000000" w:rsidDel="00000000" w:rsidP="00000000" w:rsidRDefault="00000000" w:rsidRPr="00000000" w14:paraId="00000006">
      <w:pPr>
        <w:pStyle w:val="Heading3"/>
        <w:keepNext w:val="0"/>
        <w:keepLines w:val="0"/>
        <w:spacing w:before="280" w:lineRule="auto"/>
        <w:rPr>
          <w:b w:val="1"/>
          <w:color w:val="000000"/>
          <w:sz w:val="26"/>
          <w:szCs w:val="26"/>
        </w:rPr>
      </w:pPr>
      <w:bookmarkStart w:colFirst="0" w:colLast="0" w:name="_9z21t11ix3n6" w:id="2"/>
      <w:bookmarkEnd w:id="2"/>
      <w:r w:rsidDel="00000000" w:rsidR="00000000" w:rsidRPr="00000000">
        <w:rPr>
          <w:b w:val="1"/>
          <w:color w:val="000000"/>
          <w:sz w:val="26"/>
          <w:szCs w:val="26"/>
          <w:rtl w:val="0"/>
        </w:rPr>
        <w:t xml:space="preserve">3. Simulation Results</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ran three process simulations both </w:t>
      </w:r>
      <w:r w:rsidDel="00000000" w:rsidR="00000000" w:rsidRPr="00000000">
        <w:rPr>
          <w:rFonts w:ascii="Times New Roman" w:cs="Times New Roman" w:eastAsia="Times New Roman" w:hAnsi="Times New Roman"/>
          <w:i w:val="1"/>
          <w:rtl w:val="0"/>
        </w:rPr>
        <w:t xml:space="preserve">before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rtl w:val="0"/>
        </w:rPr>
        <w:t xml:space="preserve">after</w:t>
      </w:r>
      <w:r w:rsidDel="00000000" w:rsidR="00000000" w:rsidRPr="00000000">
        <w:rPr>
          <w:rFonts w:ascii="Times New Roman" w:cs="Times New Roman" w:eastAsia="Times New Roman" w:hAnsi="Times New Roman"/>
          <w:rtl w:val="0"/>
        </w:rPr>
        <w:t xml:space="preserve"> the change, and recorded the number of completed cases per month in each scenario (excluding cancellation cases):</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05.4161462085785"/>
        <w:gridCol w:w="1500.1798191576895"/>
        <w:gridCol w:w="1500.1798191576895"/>
        <w:gridCol w:w="1500.1798191576895"/>
        <w:gridCol w:w="2819.556207341977"/>
        <w:tblGridChange w:id="0">
          <w:tblGrid>
            <w:gridCol w:w="1705.4161462085785"/>
            <w:gridCol w:w="1500.1798191576895"/>
            <w:gridCol w:w="1500.1798191576895"/>
            <w:gridCol w:w="1500.1798191576895"/>
            <w:gridCol w:w="2819.55620734197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Cases Completed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Change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209.7</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jso19zokyxij" w:id="3"/>
      <w:bookmarkEnd w:id="3"/>
      <w:r w:rsidDel="00000000" w:rsidR="00000000" w:rsidRPr="00000000">
        <w:rPr>
          <w:b w:val="1"/>
          <w:color w:val="000000"/>
          <w:sz w:val="26"/>
          <w:szCs w:val="26"/>
          <w:rtl w:val="0"/>
        </w:rPr>
        <w:t xml:space="preserve">4. Insights &amp; Analysis</w:t>
      </w:r>
    </w:p>
    <w:p w:rsidR="00000000" w:rsidDel="00000000" w:rsidP="00000000" w:rsidRDefault="00000000" w:rsidRPr="00000000" w14:paraId="0000001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reallocating Paul to the fraud investigation team, we significantly reduced the bottleneck in that stage.</w:t>
        <w:br w:type="textWrapping"/>
        <w:t xml:space="preserve">This change increased the average case completion rate by nearly 40% (from 150 to ~210 cases/month).</w:t>
        <w:br w:type="textWrapping"/>
        <w:t xml:space="preserve">The improvement is consistent across all three simulations, demonstrating the stability of the effect.</w:t>
        <w:br w:type="textWrapping"/>
        <w:t xml:space="preserve">No additional resources were added—only a role and group change was made—making this solution cost-efficient and regulation-compliant.</w:t>
      </w:r>
    </w:p>
    <w:p w:rsidR="00000000" w:rsidDel="00000000" w:rsidP="00000000" w:rsidRDefault="00000000" w:rsidRPr="00000000" w14:paraId="0000001A">
      <w:pPr>
        <w:rPr/>
      </w:pPr>
      <w:r w:rsidDel="00000000" w:rsidR="00000000" w:rsidRPr="00000000">
        <w:rPr/>
        <w:drawing>
          <wp:inline distB="114300" distT="114300" distL="114300" distR="114300">
            <wp:extent cx="5731200" cy="47752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simulation 1:number of finished cases:212</w:t>
      </w:r>
    </w:p>
    <w:p w:rsidR="00000000" w:rsidDel="00000000" w:rsidP="00000000" w:rsidRDefault="00000000" w:rsidRPr="00000000" w14:paraId="0000001C">
      <w:pPr>
        <w:rPr/>
      </w:pPr>
      <w:r w:rsidDel="00000000" w:rsidR="00000000" w:rsidRPr="00000000">
        <w:rPr/>
        <w:drawing>
          <wp:inline distB="114300" distT="114300" distL="114300" distR="114300">
            <wp:extent cx="5731200" cy="4673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simulation 2:number of finished cases:206</w:t>
      </w:r>
    </w:p>
    <w:p w:rsidR="00000000" w:rsidDel="00000000" w:rsidP="00000000" w:rsidRDefault="00000000" w:rsidRPr="00000000" w14:paraId="0000001E">
      <w:pPr>
        <w:rPr/>
      </w:pPr>
      <w:r w:rsidDel="00000000" w:rsidR="00000000" w:rsidRPr="00000000">
        <w:rPr/>
        <w:drawing>
          <wp:inline distB="114300" distT="114300" distL="114300" distR="114300">
            <wp:extent cx="5731200" cy="4737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simulation 3:number of finished cases:211</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