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0.373</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283.686</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KMO检验的结果显示，KMO的值为0.373，同时，Bartlett球形检验的结果显示，显著性P值为0.000***，水平上呈现显著性，拒绝原假设，各变量间具有相关性，主成分分析有效，程度为极不适合。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5.391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38.51%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55.109%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67.036%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10.435%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77.471%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7.825%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85.296%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91.508%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95.435%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97.456%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98.623%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99.372%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99.783%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99.904%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99.964%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方差解释表中，在主成分6时，总方差解释的特征根低于1.0，变量解释的贡献率达到91.508%，以上仅为参考，若特征根小于1.0临界值过大，也可以集合具体情况具体分析。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7"/>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5"/>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主成分5</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0.306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0.800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-0.263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0.838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因子载荷图通过将多因子降维成双主成分或者三主成分，通过象限图的方式呈现主成分的空间分布。</w:t>
      </w:r>
      <w:r>
        <w:rPr>
          <w:b w:val="false"/>
          <w:bCs w:val="false"/>
          <w:color w:val="000000"/>
          <w:sz w:val="21"/>
          <w:szCs w:val="21"/>
        </w:rPr>
        <w:br/>
        <w:t xml:space="preserve">如果提取2个主成分时，无法呈现三维载荷因子散点图。</w:t>
      </w:r>
    </w:p>
    <w:p>
      <w:pPr>
        <w:widowControl/>
        <w:spacing w:after="0" w:before="0"/>
        <w:ind w:left="720" w:right="720"/>
        <w:jc w:val="left"/>
      </w:pPr>
      <w:r>
        <w:rPr>
          <w:b/>
          <w:bCs/>
          <w:color w:val="000000"/>
          <w:sz w:val="22"/>
          <w:szCs w:val="22"/>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7"/>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5"/>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0.479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-0.062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0.023×二氧化硅(SiO2)+0.04×氧化钠(Na2O)+0.135×氧化钾(K2O)+0.125×氧化钙(CaO)+0.149×氧化镁(MgO)+0.169×氧化铝(Al2O3)+0.157×氧化铁(Fe2O3)+0.119×氧化铜(CuO)+0.087×氧化铅(PbO)+0.112×氧化钡(BaO)+0.133×五氧化二磷(P2O5)+0.137×氧化锶(SrO)-0.004×氧化锡(SnO2)+0.057×二氧化硫(SO2)</w:t>
      </w:r>
      <w:r>
        <w:rPr>
          <w:b w:val="false"/>
          <w:bCs w:val="false"/>
          <w:color w:val="000000"/>
          <w:sz w:val="21"/>
          <w:szCs w:val="21"/>
        </w:rPr>
        <w:br/>
        <w:t xml:space="preserve">F2=-0.019×二氧化硅(SiO2)+0.347×氧化钠(Na2O)+0.186×氧化钾(K2O)+0.297×氧化钙(CaO)-0.153×氧化镁(MgO)+0.041×氧化铝(Al2O3)-0.061×氧化铁(Fe2O3)+0.062×氧化铜(CuO)+0.121×氧化铅(PbO)-0.13×氧化钡(BaO)-0.219×五氧化二磷(P2O5)-0.213×氧化锶(SrO)-0.152×氧化锡(SnO2)+0.077×二氧化硫(SO2)</w:t>
      </w:r>
      <w:r>
        <w:rPr>
          <w:b w:val="false"/>
          <w:bCs w:val="false"/>
          <w:color w:val="000000"/>
          <w:sz w:val="21"/>
          <w:szCs w:val="21"/>
        </w:rPr>
        <w:br/>
        <w:t xml:space="preserve">F3=0.051×二氧化硅(SiO2)-0.128×氧化钠(Na2O)+0.113×氧化钾(K2O)+0.089×氧化钙(CaO)+0.148×氧化镁(MgO)-0.012×氧化铝(Al2O3)+0.05×氧化铁(Fe2O3)+0.017×氧化铜(CuO)-0.412×氧化铅(PbO)-0.349×氧化钡(BaO)+0.026×五氧化二磷(P2O5)-0.055×氧化锶(SrO)+0.103×氧化锡(SnO2)+0.479×二氧化硫(SO2)</w:t>
      </w:r>
      <w:r>
        <w:rPr>
          <w:b w:val="false"/>
          <w:bCs w:val="false"/>
          <w:color w:val="000000"/>
          <w:sz w:val="21"/>
          <w:szCs w:val="21"/>
        </w:rPr>
        <w:br/>
        <w:t xml:space="preserve">F4=-0.043×二氧化硅(SiO2)+0.264×氧化钠(Na2O)+0.252×氧化钾(K2O)-0.023×氧化钙(CaO)+0.11×氧化镁(MgO)+0.088×氧化铝(Al2O3)-0.161×氧化铁(Fe2O3)-0.363×氧化铜(CuO)+0.036×氧化铅(PbO)-0.184×氧化钡(BaO)+0.031×五氧化二磷(P2O5)+0.162×氧化锶(SrO)+0.526×氧化锡(SnO2)-0.18×二氧化硫(SO2)</w:t>
      </w:r>
      <w:r>
        <w:rPr>
          <w:b w:val="false"/>
          <w:bCs w:val="false"/>
          <w:color w:val="000000"/>
          <w:sz w:val="21"/>
          <w:szCs w:val="21"/>
        </w:rPr>
        <w:br/>
        <w:t xml:space="preserve">F5=0.865×二氧化硅(SiO2)-0.036×氧化钠(Na2O)+0.005×氧化钾(K2O)-0.014×氧化钙(CaO)+0.002×氧化镁(MgO)+0.008×氧化铝(Al2O3)-0.164×氧化铁(Fe2O3)+0.24×氧化铜(CuO)+0.065×氧化铅(PbO)+0.039×氧化钡(BaO)-0.098×五氧化二磷(P2O5)-0.101×氧化锶(SrO)+0.224×氧化锡(SnO2)-0.062×二氧化硫(SO2)</w:t>
      </w:r>
      <w:r>
        <w:rPr>
          <w:b w:val="false"/>
          <w:bCs w:val="false"/>
          <w:color w:val="000000"/>
          <w:sz w:val="21"/>
          <w:szCs w:val="21"/>
        </w:rPr>
        <w:br/>
        <w:t xml:space="preserve">由上可以得到：</w:t>
      </w:r>
      <w:r>
        <w:rPr>
          <w:b w:val="false"/>
          <w:bCs w:val="false"/>
          <w:color w:val="000000"/>
          <w:sz w:val="21"/>
          <w:szCs w:val="21"/>
        </w:rPr>
        <w:br/>
        <w:t xml:space="preserve">F=(0.385/0.853)×F1+(0.166/0.853)×F2+(0.119/0.853)×F3+(0.104/0.853)×F4+(0.078/0.853)×F5</w:t>
      </w:r>
    </w:p>
    <w:p>
      <w:pPr>
        <w:widowControl/>
        <w:spacing w:after="0" w:before="0"/>
        <w:ind w:left="720" w:right="720"/>
        <w:jc w:val="left"/>
      </w:pPr>
      <w:r>
        <w:rPr>
          <w:b/>
          <w:bCs/>
          <w:color w:val="000000"/>
          <w:sz w:val="22"/>
          <w:szCs w:val="22"/>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45.148%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19.461%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13.983%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12.234%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0.853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9.174%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45.148%、主成分2的权重为19.461%、主成分3的权重为13.983%、主成分4的权重为12.234%、主成分5的权重为9.174%，其中指标权重最大值为主成分1（45.148%），最小值为主成分5（9.174%）。</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f0w5s9kbxbfwyb2ncts8k.png"/><Relationship Id="rId6" Type="http://schemas.openxmlformats.org/officeDocument/2006/relationships/image" Target="media/bpin9t5phgs-cd4foankg.png"/><Relationship Id="rId7" Type="http://schemas.openxmlformats.org/officeDocument/2006/relationships/image" Target="media/uaf57jcxaieps8eig-zs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2022-09-15T15:40:03.306Z</dcterms:created>
  <dcterms:modified xsi:type="dcterms:W3CDTF">2022-09-15T15:40:03.306Z</dcterms:modified>
</cp:coreProperties>
</file>

<file path=docProps/custom.xml><?xml version="1.0" encoding="utf-8"?>
<Properties xmlns="http://schemas.openxmlformats.org/officeDocument/2006/custom-properties" xmlns:vt="http://schemas.openxmlformats.org/officeDocument/2006/docPropsVTypes"/>
</file>