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Bartlett的检验（p &lt; 0.05,严格来说p &lt; 0.01），若显著性小于0.05或0.01，拒绝原假设，则说明可以做主成分分析，若不拒绝原假设，则说明这些变量可能独立提供一些信息，不适合做主成分分析;
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
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
4.
基于主成分载荷图通过将多主成分降维成双主成分或者三主成分，通过象限图的方式呈现主成分的空间分布。如果提取2个主成分时，无法呈现三维载荷主成分散点图，如果提取1个主成分时，无法显示主成分象限图;
5.
通过分析成分矩阵，得出主成分成分公式与权重;
6.
输出主成分分析法综合得分。</w:t>
      </w:r>
    </w:p>
    <w:p>
      <w:pPr>
        <w:pStyle w:val="Heading3"/>
        <w:widowControl/>
      </w:pPr>
      <w:r>
        <w:t xml:space="preserve">主成分分析结果</w:t>
      </w:r>
    </w:p>
    <w:p>
      <w:pPr>
        <w:widowControl/>
        <w:spacing w:after="0" w:before="0"/>
        <w:ind w:left="720" w:right="720"/>
        <w:jc w:val="left"/>
      </w:pPr>
      <w:r>
        <w:rPr>
          <w:b/>
          <w:bCs/>
          <w:color w:val="000000"/>
          <w:sz w:val="22"/>
          <w:szCs w:val="22"/>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0.634</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264.227</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上表展示了KMO检验和Bartlett球形检验的结果，用来分析是否可以进行主成分分析。</w:t>
      </w:r>
      <w:r>
        <w:rPr>
          <w:b w:val="false"/>
          <w:bCs w:val="false"/>
          <w:color w:val="000000"/>
          <w:sz w:val="21"/>
          <w:szCs w:val="21"/>
        </w:rPr>
        <w:br/>
        <w:t xml:space="preserve">● 若通过KMO检验（KMO&gt;0.6），说明了题项变量之间是存在相关性的，符合主成分分析要求;</w:t>
      </w:r>
      <w:r>
        <w:rPr>
          <w:b w:val="false"/>
          <w:bCs w:val="false"/>
          <w:color w:val="000000"/>
          <w:sz w:val="21"/>
          <w:szCs w:val="21"/>
        </w:rPr>
        <w:br/>
        <w:t xml:space="preserve">● 若通过Bartlett检验：P&lt;0.01或P&lt;0.05, 呈显著性，则可以进行主成分分析。</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KMO检验的结果显示，KMO的值为0.634，同时，Bartlett球形检验的结果显示，显著性P值为0.000***，水平上呈现显著性，拒绝原假设，各变量间具有相关性，主成分分析有效，程度为不太适合。</w:t>
      </w:r>
    </w:p>
    <w:p>
      <w:pPr>
        <w:widowControl/>
        <w:spacing w:after="0" w:before="0"/>
        <w:ind w:left="720" w:right="720"/>
        <w:jc w:val="left"/>
      </w:pPr>
      <w:r>
        <w:rPr>
          <w:b/>
          <w:bCs/>
          <w:color w:val="000000"/>
          <w:sz w:val="22"/>
          <w:szCs w:val="22"/>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方差百分比</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累积</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24.581%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24.581%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20.834%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45.415%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11.689%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57.105%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7.905%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65.01%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6.307%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71.317%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5.991%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77.307%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5.396%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82.703%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4.405%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87.108%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91.035%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93.665%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96.13%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97.772%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99.16%</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14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0.118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0.84%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21"/>
          <w:szCs w:val="21"/>
        </w:rPr>
        <w:br/>
        <w:t xml:space="preserve">● 一般情况下，方差解释率越高，说明该主成分越重要，权重占比也应该越高。</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方差解释表中，在主成分5时，总方差解释的特征根低于1.0，变量解释的贡献率达到71.317%，以上仅为参考，若特征根小于1.0临界值过大，也可以集合具体情况具体分析。</w:t>
      </w:r>
    </w:p>
    <w:p>
      <w:pPr>
        <w:widowControl/>
        <w:spacing w:after="0" w:before="0"/>
        <w:ind w:left="720" w:right="720"/>
        <w:jc w:val="left"/>
      </w:pPr>
      <w:r>
        <w:rPr>
          <w:b/>
          <w:bCs/>
          <w:color w:val="000000"/>
          <w:sz w:val="22"/>
          <w:szCs w:val="22"/>
        </w:rPr>
        <w:br/>
        <w:t xml:space="preserve">输出结果3：碎石图</w:t>
      </w:r>
    </w:p>
    <w:p>
      <w:pPr>
        <w:spacing w:after="500"/>
        <w:jc w:val="center"/>
      </w:pPr>
      <w:r>
        <w:drawing>
          <wp:inline distT="0" distB="0" distL="0" distR="0">
            <wp:extent cx="4762500" cy="145207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145207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21"/>
          <w:szCs w:val="21"/>
        </w:rPr>
        <w:br/>
        <w:t xml:space="preserve">● 每一个主成分为一个点，通过“坡度趋于平缓”的未知判断提取主成分的数量。</w:t>
      </w:r>
    </w:p>
    <w:p>
      <w:pPr>
        <w:widowControl/>
        <w:spacing w:after="0" w:before="0"/>
        <w:ind w:left="720" w:right="720"/>
        <w:jc w:val="left"/>
      </w:pPr>
      <w:r>
        <w:rPr>
          <w:b/>
          <w:bCs/>
          <w:color w:val="000000"/>
          <w:sz w:val="22"/>
          <w:szCs w:val="22"/>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9"/>
            <w:tcBorders>
              <w:top w:val="single" w:color="000000" w:sz="10"/>
              <w:left w:val="none"/>
              <w:bottom w:val="none" w:color="000000" w:sz="10"/>
              <w:right w:val="none"/>
            </w:tcBorders>
            <w:vAlign w:val="center"/>
          </w:tcPr>
          <w:p>
            <w:pPr>
              <w:pBdr>
                <w:left w:val="none"/>
                <w:right w:val="none"/>
              </w:pBdr>
              <w:jc w:val="center"/>
            </w:pPr>
            <w: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7"/>
            <w:tcBorders>
              <w:top w:val="none" w:color="000000" w:sz="10"/>
              <w:left w:val="none"/>
              <w:bottom w:val="none" w:color="000000" w:sz="10"/>
              <w:right w:val="none"/>
            </w:tcBorders>
            <w:vAlign w:val="center"/>
          </w:tcPr>
          <w:p>
            <w:pPr>
              <w:pBdr>
                <w:left w:val="none"/>
                <w:right w:val="none"/>
              </w:pBdr>
              <w:jc w:val="center"/>
            </w:pPr>
            <w: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主成分7</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0.769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0.916</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0.556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-0.102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0.521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-0.060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0.115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-0.554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0.914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上表为因子载荷系数表，可以分析到每个主成分中隐变量的重要性。</w:t>
      </w:r>
      <w:r>
        <w:rPr>
          <w:b w:val="false"/>
          <w:bCs w:val="false"/>
          <w:color w:val="000000"/>
          <w:sz w:val="21"/>
          <w:szCs w:val="21"/>
        </w:rPr>
        <w:br/>
        <w:t xml:space="preserve">● 假设前文确定得到n个因子，因子 i 中a、b、c、d的因子载荷系数较大，因此可将主成分 i 进行总结重命名。</w:t>
      </w:r>
    </w:p>
    <w:p>
      <w:pPr>
        <w:widowControl/>
        <w:spacing w:after="0" w:before="0"/>
        <w:ind w:left="720" w:right="720"/>
        <w:jc w:val="left"/>
      </w:pPr>
      <w:r>
        <w:rPr>
          <w:b/>
          <w:bCs/>
          <w:color w:val="000000"/>
          <w:sz w:val="22"/>
          <w:szCs w:val="22"/>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上图为载荷矩阵热力图，可以分析到每个主成分中隐变量的重要性。同时可结合具体业务进行各因子的隐变量分析。</w:t>
      </w:r>
    </w:p>
    <w:p>
      <w:pPr>
        <w:widowControl/>
        <w:spacing w:after="0" w:before="0"/>
        <w:ind w:left="720" w:right="720"/>
        <w:jc w:val="left"/>
      </w:pPr>
      <w:r>
        <w:rPr>
          <w:b/>
          <w:bCs/>
          <w:color w:val="000000"/>
          <w:sz w:val="22"/>
          <w:szCs w:val="22"/>
        </w:rPr>
        <w:br/>
        <w:t xml:space="preserve">输出结果6：因子载荷象限分析</w:t>
      </w:r>
    </w:p>
    <w:p>
      <w:pPr>
        <w:spacing w:after="500"/>
        <w:jc w:val="center"/>
      </w:pPr>
      <w:r>
        <w:drawing>
          <wp:inline distT="0" distB="0" distL="0" distR="0">
            <wp:extent cx="4762500" cy="36045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604559"/>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因子载荷图通过将多因子降维成双主成分或者三主成分，通过象限图的方式呈现主成分的空间分布。</w:t>
      </w:r>
      <w:r>
        <w:rPr>
          <w:b w:val="false"/>
          <w:bCs w:val="false"/>
          <w:color w:val="000000"/>
          <w:sz w:val="21"/>
          <w:szCs w:val="21"/>
        </w:rPr>
        <w:br/>
        <w:t xml:space="preserve">如果提取2个主成分时，无法呈现三维载荷因子散点图。</w:t>
      </w:r>
    </w:p>
    <w:p>
      <w:pPr>
        <w:widowControl/>
        <w:spacing w:after="0" w:before="0"/>
        <w:ind w:left="720" w:right="720"/>
        <w:jc w:val="left"/>
      </w:pPr>
      <w:r>
        <w:rPr>
          <w:b/>
          <w:bCs/>
          <w:color w:val="000000"/>
          <w:sz w:val="22"/>
          <w:szCs w:val="22"/>
        </w:rPr>
        <w:br/>
        <w:t xml:space="preserve">输出结果7：成分矩阵表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tblGrid>
      <w:tr>
        <w:tc>
          <w:tcPr>
            <w:gridSpan w:val="9"/>
            <w:tcBorders>
              <w:top w:val="single" w:color="000000" w:sz="10"/>
              <w:left w:val="none"/>
              <w:bottom w:val="none" w:color="000000" w:sz="10"/>
              <w:right w:val="none"/>
            </w:tcBorders>
            <w:vAlign w:val="center"/>
          </w:tcPr>
          <w:p>
            <w:pPr>
              <w:pBdr>
                <w:left w:val="none"/>
                <w:right w:val="none"/>
              </w:pBdr>
              <w:jc w:val="center"/>
            </w:pPr>
            <w: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名称</w:t>
            </w:r>
          </w:p>
        </w:tc>
        <w:tc>
          <w:tcPr>
            <w:gridSpan w:val="7"/>
            <w:tcBorders>
              <w:top w:val="none" w:color="000000" w:sz="10"/>
              <w:left w:val="none"/>
              <w:bottom w:val="none" w:color="000000" w:sz="10"/>
              <w:right w:val="none"/>
            </w:tcBorders>
            <w:vAlign w:val="center"/>
          </w:tcPr>
          <w:p>
            <w:pPr>
              <w:pBdr>
                <w:left w:val="none"/>
                <w:right w:val="none"/>
              </w:pBdr>
              <w:jc w:val="center"/>
            </w:pPr>
            <w: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成分6</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0.161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0.319</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-0.055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-0.733</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21"/>
          <w:szCs w:val="21"/>
        </w:rPr>
        <w:br/>
        <w:t xml:space="preserve">● 线性组合系数，公式为：因子载荷系数除以对应特征根，即成分矩阵的系数。</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模型的公式：</w:t>
      </w:r>
      <w:r>
        <w:rPr>
          <w:b w:val="false"/>
          <w:bCs w:val="false"/>
          <w:color w:val="000000"/>
          <w:sz w:val="21"/>
          <w:szCs w:val="21"/>
        </w:rPr>
        <w:br/>
        <w:t xml:space="preserve">F1=-0.232×二氧化硅(SiO2)-0.095×氧化钠(Na2O)-0.089×氧化钾(K2O)+0.049×氧化钙(CaO)-0.121×氧化镁(MgO)-0.19×氧化铝(Al2O3)-0.092×氧化铁(Fe2O3)+0.173×氧化铜(CuO)+0.143×氧化铅(PbO)+0.191×氧化钡(BaO)+0.121×五氧化二磷(P2O5)+0.142×氧化锶(SrO)-0.1×氧化锡(SnO2)+0.161×二氧化硫(SO2)</w:t>
      </w:r>
      <w:r>
        <w:rPr>
          <w:b w:val="false"/>
          <w:bCs w:val="false"/>
          <w:color w:val="000000"/>
          <w:sz w:val="21"/>
          <w:szCs w:val="21"/>
        </w:rPr>
        <w:br/>
        <w:t xml:space="preserve">F2=-0.125×二氧化硅(SiO2)-0.164×氧化钠(Na2O)+0.079×氧化钾(K2O)+0.282×氧化钙(CaO)+0.215×氧化镁(MgO)+0.092×氧化铝(Al2O3)+0.186×氧化铁(Fe2O3)-0.096×氧化铜(CuO)+0.168×氧化铅(PbO)-0.122×氧化钡(BaO)+0.221×五氧化二磷(P2O5)+0.106×氧化锶(SrO)+0.107×氧化锡(SnO2)-0.035×二氧化硫(SO2)</w:t>
      </w:r>
      <w:r>
        <w:rPr>
          <w:b w:val="false"/>
          <w:bCs w:val="false"/>
          <w:color w:val="000000"/>
          <w:sz w:val="21"/>
          <w:szCs w:val="21"/>
        </w:rPr>
        <w:br/>
        <w:t xml:space="preserve">F3=0.015×二氧化硅(SiO2)-0.036×氧化钠(Na2O)+0.285×氧化钾(K2O)+0.091×氧化钙(CaO)+0.045×氧化镁(MgO)+0.255×氧化铝(Al2O3)+0.089×氧化铁(Fe2O3)+0.229×氧化铜(CuO)-0.293×氧化铅(PbO)+0.355×氧化钡(BaO)-0.014×五氧化二磷(P2O5)-0.03×氧化锶(SrO)+0.279×氧化锡(SnO2)+0.319×二氧化硫(SO2)</w:t>
      </w:r>
      <w:r>
        <w:rPr>
          <w:b w:val="false"/>
          <w:bCs w:val="false"/>
          <w:color w:val="000000"/>
          <w:sz w:val="21"/>
          <w:szCs w:val="21"/>
        </w:rPr>
        <w:br/>
        <w:t xml:space="preserve">F4=0.005×二氧化硅(SiO2)+0.529×氧化钠(Na2O)-0.108×氧化钾(K2O)-0.016×氧化钙(CaO)+0.358×氧化镁(MgO)+0.232×氧化铝(Al2O3)-0.348×氧化铁(Fe2O3)+0.123×氧化铜(CuO)+0.056×氧化铅(PbO)+0.027×氧化钡(BaO)+0.034×五氧化二磷(P2O5)+0.53×氧化锶(SrO)+0.068×氧化锡(SnO2)-0.055×二氧化硫(SO2)</w:t>
      </w:r>
      <w:r>
        <w:rPr>
          <w:b w:val="false"/>
          <w:bCs w:val="false"/>
          <w:color w:val="000000"/>
          <w:sz w:val="21"/>
          <w:szCs w:val="21"/>
        </w:rPr>
        <w:br/>
        <w:t xml:space="preserve">F5=0.155×二氧化硅(SiO2)+0.082×氧化钠(Na2O)-0.408×氧化钾(K2O)+0.154×氧化钙(CaO)+0.245×氧化镁(MgO)+0.077×氧化铝(Al2O3)+0.146×氧化铁(Fe2O3)+0.295×氧化铜(CuO)-0.436×氧化铅(PbO)-0.014×氧化钡(BaO)+0.509×五氧化二磷(P2O5)-0.259×氧化锶(SrO)-0.47×氧化锡(SnO2)-0.002×二氧化硫(SO2)</w:t>
      </w:r>
      <w:r>
        <w:rPr>
          <w:b w:val="false"/>
          <w:bCs w:val="false"/>
          <w:color w:val="000000"/>
          <w:sz w:val="21"/>
          <w:szCs w:val="21"/>
        </w:rPr>
        <w:br/>
        <w:t xml:space="preserve">F6=-0.001×二氧化硅(SiO2)+0.211×氧化钠(Na2O)+0.771×氧化钾(K2O)-0.046×氧化钙(CaO)+0.214×氧化镁(MgO)-0.174×氧化铝(Al2O3)+0.061×氧化铁(Fe2O3)-0.078×氧化铜(CuO)+0.063×氧化铅(PbO)+0.001×氧化钡(BaO)+0.003×五氧化二磷(P2O5)+0.029×氧化锶(SrO)-0.665×氧化锡(SnO2)+0.137×二氧化硫(SO2)</w:t>
      </w:r>
      <w:r>
        <w:rPr>
          <w:b w:val="false"/>
          <w:bCs w:val="false"/>
          <w:color w:val="000000"/>
          <w:sz w:val="21"/>
          <w:szCs w:val="21"/>
        </w:rPr>
        <w:br/>
        <w:t xml:space="preserve">F7=0.071×二氧化硅(SiO2)-0.112×氧化钠(Na2O)+0.16×氧化钾(K2O)-0.093×氧化钙(CaO)-0.009×氧化镁(MgO)-0.057×氧化铝(Al2O3)+0.391×氧化铁(Fe2O3)+0.695×氧化铜(CuO)+0.1×氧化铅(PbO)+0.136×氧化钡(BaO)-0.178×五氧化二磷(P2O5)+0.187×氧化锶(SrO)-0.011×氧化锡(SnO2)-0.733×二氧化硫(SO2)</w:t>
      </w:r>
      <w:r>
        <w:rPr>
          <w:b w:val="false"/>
          <w:bCs w:val="false"/>
          <w:color w:val="000000"/>
          <w:sz w:val="21"/>
          <w:szCs w:val="21"/>
        </w:rPr>
        <w:br/>
        <w:t xml:space="preserve">由上可以得到：</w:t>
      </w:r>
      <w:r>
        <w:rPr>
          <w:b w:val="false"/>
          <w:bCs w:val="false"/>
          <w:color w:val="000000"/>
          <w:sz w:val="21"/>
          <w:szCs w:val="21"/>
        </w:rPr>
        <w:br/>
        <w:t xml:space="preserve">F=(0.246/0.827)×F1+(0.208/0.827)×F2+(0.117/0.827)×F3+(0.079/0.827)×F4+(0.063/0.827)×F5+(0.06/0.827)×F6+(0.054/0.827)×F7</w:t>
      </w:r>
    </w:p>
    <w:p>
      <w:pPr>
        <w:widowControl/>
        <w:spacing w:after="0" w:before="0"/>
        <w:ind w:left="720" w:right="720"/>
        <w:jc w:val="left"/>
      </w:pPr>
      <w:r>
        <w:rPr>
          <w:b/>
          <w:bCs/>
          <w:color w:val="000000"/>
          <w:sz w:val="22"/>
          <w:szCs w:val="22"/>
        </w:rPr>
        <w:br/>
        <w:t xml:space="preserve">输出结果8：因子权重分析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累计方差解释率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权重</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29.723%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25.191%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14.134%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9.559%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7.626%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7.244%</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主成分7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0.827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6.524%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上表为主成分分析的根据载荷系数等信息所做的主成分权重分析，其计算公式为：方差解释率/旋转后累积方差解释率。</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主成分分析的权重计算结果显示，主成分1的权重为29.723%、主成分2的权重为25.191%、主成分3的权重为14.134%、主成分4的权重为9.559%、主成分5的权重为7.626%、主成分6的权重为7.244%、主成分7的权重为6.524%，其中指标权重最大值为主成分1（29.723%），最小值为主成分7（6.524%）。</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fjnbjj08fvgfumznsaxr7.png"/><Relationship Id="rId6" Type="http://schemas.openxmlformats.org/officeDocument/2006/relationships/image" Target="media/ksunrayqnmnditmbuc9qq.png"/><Relationship Id="rId7" Type="http://schemas.openxmlformats.org/officeDocument/2006/relationships/image" Target="media/sxejmh1kk8yd824vvejyc.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2022-09-15T15:28:55.590Z</dcterms:created>
  <dcterms:modified xsi:type="dcterms:W3CDTF">2022-09-15T15:28:55.590Z</dcterms:modified>
</cp:coreProperties>
</file>

<file path=docProps/custom.xml><?xml version="1.0" encoding="utf-8"?>
<Properties xmlns="http://schemas.openxmlformats.org/officeDocument/2006/custom-properties" xmlns:vt="http://schemas.openxmlformats.org/officeDocument/2006/docPropsVTypes"/>
</file>