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CompX Azure Cloud Security Framework</w:t>
      </w:r>
    </w:p>
    <w:p>
      <w:pPr>
        <w:spacing w:after="160"/>
        <w:jc w:val="center"/>
      </w:pPr>
      <w:r>
        <w:rPr>
          <w:i/>
          <w:iCs/>
          <w:color w:val="2E74B5"/>
          <w:sz w:val="28"/>
          <w:szCs w:val="28"/>
        </w:rPr>
        <w:t xml:space="preserve">One Referenceable Standard for Everything Security-Related in the Cloud</w:t>
      </w:r>
    </w:p>
    <w:p>
      <w:pPr>
        <w:spacing w:before="600"/>
        <w:jc w:val="center"/>
      </w:pPr>
      <w:r>
        <w:rPr>
          <w:sz w:val="24"/>
          <w:szCs w:val="24"/>
        </w:rPr>
        <w:t xml:space="preserve">Version 0.1 (Draft for Review)  |  August 2026</w:t>
      </w:r>
    </w:p>
    <w:p>
      <w:pPr>
        <w:jc w:val="center"/>
      </w:pPr>
      <w:r>
        <w:rPr>
          <w:sz w:val="24"/>
          <w:szCs w:val="24"/>
        </w:rPr>
        <w:t xml:space="preserve">Owner: Cloud Operations / Security  |  Classification: Internal</w:t>
      </w:r>
    </w:p>
    <w:p>
      <w:pPr>
        <w:spacing w:before="1200"/>
        <w:jc w:val="center"/>
      </w:pPr>
      <w:r>
        <w:rPr>
          <w:i/>
          <w:iCs/>
          <w:sz w:val="22"/>
          <w:szCs w:val="22"/>
        </w:rPr>
        <w:t xml:space="preserve">Aligned to Microsoft Cloud Security Benchmark (MCSB) v2, Azure Well-Architected Framework, Cloud Adoption Framework and Zero Trust</w:t>
      </w:r>
    </w:p>
    <w:p>
      <w:r>
        <w:br w:type="page"/>
      </w:r>
    </w:p>
    <w:p>
      <w:pPr>
        <w:pStyle w:val="Heading1"/>
        <w:spacing w:after="160" w:before="360"/>
      </w:pPr>
      <w:r>
        <w:rPr>
          <w:color w:val="1F386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color w:val="1F3864"/>
        </w:rPr>
        <w:t xml:space="preserve">1. Purpose and Scope</w:t>
      </w:r>
    </w:p>
    <w:p>
      <w:pPr>
        <w:spacing w:after="120"/>
      </w:pPr>
      <w:r>
        <w:t xml:space="preserve">This document is the single, referenceable security framework for the CompX Azure cloud estate. It defines our security North Star (the gold standard we are working towards), our current minimum baseline, and the process for documenting exceptions where a business or technology limitation prevents us from meeting the standard today.</w:t>
      </w:r>
    </w:p>
    <w:p>
      <w:pPr>
        <w:spacing w:after="120"/>
      </w:pPr>
      <w:r>
        <w:t xml:space="preserve">The framework is deliberately aspirational. We know we are not fully there yet and that gaps exist, but we are also not doing everything wrong. The intent is a blend: a stretch target that we constantly measure ourselves against, combined with an honest, documented view of where we stand.</w:t>
      </w:r>
    </w:p>
    <w:p>
      <w:pPr>
        <w:spacing w:after="120"/>
      </w:pPr>
      <w:r>
        <w:rPr>
          <w:b/>
          <w:bCs/>
        </w:rPr>
        <w:t xml:space="preserve">In scope: </w:t>
      </w:r>
      <w:r>
        <w:t xml:space="preserve">all Azure subscriptions, resources and workloads operated by CompX, including AKS clusters, SQL Servers and Azure SQL Databases, virtual machines, storage accounts, networking (NSGs, firewalls, private endpoints), identity (Entra ID), and supporting DevOps tooling.</w:t>
      </w:r>
    </w:p>
    <w:p>
      <w:pPr>
        <w:spacing w:after="120"/>
      </w:pPr>
      <w:r>
        <w:rPr>
          <w:b/>
          <w:bCs/>
        </w:rPr>
        <w:t xml:space="preserve">Out of scope: </w:t>
      </w:r>
      <w:r>
        <w:t xml:space="preserve">on-premises systems and end-user computing, except where they connect into the Azure environment (e.g. hybrid identity, ExpressRoute/VPN).</w:t>
      </w:r>
    </w:p>
    <w:p>
      <w:pPr>
        <w:pStyle w:val="Heading1"/>
        <w:spacing w:after="160" w:before="360"/>
      </w:pPr>
      <w:r>
        <w:rPr>
          <w:color w:val="1F3864"/>
        </w:rPr>
        <w:t xml:space="preserve">2. Guiding Principles</w:t>
      </w:r>
    </w:p>
    <w:p>
      <w:pPr>
        <w:pStyle w:val="ListParagraph"/>
        <w:numPr>
          <w:ilvl w:val="0"/>
          <w:numId w:val="2"/>
        </w:numPr>
        <w:spacing w:after="60"/>
      </w:pPr>
      <w:r>
        <w:rPr>
          <w:b/>
          <w:bCs/>
        </w:rPr>
        <w:t xml:space="preserve">Aspirational gold standard. </w:t>
      </w:r>
      <w:r>
        <w:t xml:space="preserve">Each domain defines the target state (“what good looks like”) even if we cannot fully achieve it today.</w:t>
      </w:r>
    </w:p>
    <w:p>
      <w:pPr>
        <w:pStyle w:val="ListParagraph"/>
        <w:numPr>
          <w:ilvl w:val="0"/>
          <w:numId w:val="2"/>
        </w:numPr>
        <w:spacing w:after="60"/>
      </w:pPr>
      <w:r>
        <w:rPr>
          <w:b/>
          <w:bCs/>
        </w:rPr>
        <w:t xml:space="preserve">Documented, not silent, exceptions. </w:t>
      </w:r>
      <w:r>
        <w:t xml:space="preserve">Where we deviate (e.g. a service pinned to TLS 1.2 due to a technology-stack limitation), the exception is recorded in the Exceptions Register with an owner, justification, compensating controls and review date.</w:t>
      </w:r>
    </w:p>
    <w:p>
      <w:pPr>
        <w:pStyle w:val="ListParagraph"/>
        <w:numPr>
          <w:ilvl w:val="0"/>
          <w:numId w:val="2"/>
        </w:numPr>
        <w:spacing w:after="60"/>
      </w:pPr>
      <w:r>
        <w:rPr>
          <w:b/>
          <w:bCs/>
        </w:rPr>
        <w:t xml:space="preserve">Risk-based. </w:t>
      </w:r>
      <w:r>
        <w:t xml:space="preserve">Findings flagged High by tooling may be a known, accepted risk. Acceptance is a formal decision, stored centrally, never an informal assumption.</w:t>
      </w:r>
    </w:p>
    <w:p>
      <w:pPr>
        <w:pStyle w:val="ListParagraph"/>
        <w:numPr>
          <w:ilvl w:val="0"/>
          <w:numId w:val="2"/>
        </w:numPr>
        <w:spacing w:after="60"/>
      </w:pPr>
      <w:r>
        <w:rPr>
          <w:b/>
          <w:bCs/>
        </w:rPr>
        <w:t xml:space="preserve">Applicable to CompX. </w:t>
      </w:r>
      <w:r>
        <w:t xml:space="preserve">Industry standards are adopted only after we consider what the implementation looks like in the CompX world. Anything genuinely not applicable is marked as such with a one-line rationale.</w:t>
      </w:r>
    </w:p>
    <w:p>
      <w:pPr>
        <w:pStyle w:val="ListParagraph"/>
        <w:numPr>
          <w:ilvl w:val="0"/>
          <w:numId w:val="2"/>
        </w:numPr>
        <w:spacing w:after="60"/>
      </w:pPr>
      <w:r>
        <w:rPr>
          <w:b/>
          <w:bCs/>
        </w:rPr>
        <w:t xml:space="preserve">Measured continuously. </w:t>
      </w:r>
      <w:r>
        <w:t xml:space="preserve">We measure the estate against this framework using our CSPM tooling (Microsoft Defender for Cloud / Wiz) and report gaps, trends and remediation progress.</w:t>
      </w:r>
    </w:p>
    <w:p>
      <w:pPr>
        <w:pStyle w:val="ListParagraph"/>
        <w:numPr>
          <w:ilvl w:val="0"/>
          <w:numId w:val="2"/>
        </w:numPr>
        <w:spacing w:after="60"/>
      </w:pPr>
      <w:r>
        <w:rPr>
          <w:b/>
          <w:bCs/>
        </w:rPr>
        <w:t xml:space="preserve">Living document. </w:t>
      </w:r>
      <w:r>
        <w:t xml:space="preserve">The framework evolves as technology limits are lifted, standards change and gaps close.</w:t>
      </w:r>
    </w:p>
    <w:p>
      <w:pPr>
        <w:pStyle w:val="Heading1"/>
        <w:spacing w:after="160" w:before="360"/>
      </w:pPr>
      <w:r>
        <w:rPr>
          <w:color w:val="1F3864"/>
        </w:rPr>
        <w:t xml:space="preserve">3. Framework Alignment: Microsoft and Industry Best Practices</w:t>
      </w:r>
    </w:p>
    <w:p>
      <w:pPr>
        <w:spacing w:after="120"/>
      </w:pPr>
      <w:r>
        <w:t xml:space="preserve">Rather than inventing controls from scratch, this framework adopts Microsoft's published guidance as its backbone and maps it to the industry standards our customers and auditors care about.</w:t>
      </w:r>
    </w:p>
    <w:p>
      <w:pPr>
        <w:pStyle w:val="Heading2"/>
        <w:spacing w:after="120" w:before="280"/>
      </w:pPr>
      <w:r>
        <w:rPr>
          <w:color w:val="2E74B5"/>
        </w:rPr>
        <w:t xml:space="preserve">3.1 Microsoft Cloud Security Benchmark (MCSB) v2</w:t>
      </w:r>
    </w:p>
    <w:p>
      <w:pPr>
        <w:spacing w:after="120"/>
      </w:pPr>
      <w:r>
        <w:t xml:space="preserve">The MCSB is Microsoft's prescriptive set of security best practices for Azure and multi-cloud workloads, and it is the primary control catalogue for this framework. MCSB v2 expands the benchmark with roughly 420 Azure Policy-based control measurements, deeper risk- and threat-based implementation guidance, a new Artificial Intelligence Security domain, and mappings to NIST CSF, PCI-DSS v4 and ISO 27001. It is assessed automatically in Microsoft Defender for Cloud's regulatory compliance dashboard, which gives us the measurement tool this framework requires.</w:t>
      </w:r>
    </w:p>
    <w:p>
      <w:pPr>
        <w:spacing w:after="120"/>
      </w:pPr>
      <w:r>
        <w:t xml:space="preserve">MCSB control domains adopted by CompX:</w:t>
      </w:r>
    </w:p>
    <w:p>
      <w:pPr>
        <w:pStyle w:val="ListParagraph"/>
        <w:numPr>
          <w:ilvl w:val="0"/>
          <w:numId w:val="2"/>
        </w:numPr>
        <w:spacing w:after="60"/>
      </w:pPr>
      <w:r>
        <w:t xml:space="preserve">Network Security (NS)</w:t>
      </w:r>
    </w:p>
    <w:p>
      <w:pPr>
        <w:pStyle w:val="ListParagraph"/>
        <w:numPr>
          <w:ilvl w:val="0"/>
          <w:numId w:val="2"/>
        </w:numPr>
        <w:spacing w:after="60"/>
      </w:pPr>
      <w:r>
        <w:t xml:space="preserve">Identity Management (IM) and Privileged Access (PA)</w:t>
      </w:r>
    </w:p>
    <w:p>
      <w:pPr>
        <w:pStyle w:val="ListParagraph"/>
        <w:numPr>
          <w:ilvl w:val="0"/>
          <w:numId w:val="2"/>
        </w:numPr>
        <w:spacing w:after="60"/>
      </w:pPr>
      <w:r>
        <w:t xml:space="preserve">Data Protection (DP)</w:t>
      </w:r>
    </w:p>
    <w:p>
      <w:pPr>
        <w:pStyle w:val="ListParagraph"/>
        <w:numPr>
          <w:ilvl w:val="0"/>
          <w:numId w:val="2"/>
        </w:numPr>
        <w:spacing w:after="60"/>
      </w:pPr>
      <w:r>
        <w:t xml:space="preserve">Asset Management (AM)</w:t>
      </w:r>
    </w:p>
    <w:p>
      <w:pPr>
        <w:pStyle w:val="ListParagraph"/>
        <w:numPr>
          <w:ilvl w:val="0"/>
          <w:numId w:val="2"/>
        </w:numPr>
        <w:spacing w:after="60"/>
      </w:pPr>
      <w:r>
        <w:t xml:space="preserve">Logging and Threat Detection (LT)</w:t>
      </w:r>
    </w:p>
    <w:p>
      <w:pPr>
        <w:pStyle w:val="ListParagraph"/>
        <w:numPr>
          <w:ilvl w:val="0"/>
          <w:numId w:val="2"/>
        </w:numPr>
        <w:spacing w:after="60"/>
      </w:pPr>
      <w:r>
        <w:t xml:space="preserve">Incident Response (IR)</w:t>
      </w:r>
    </w:p>
    <w:p>
      <w:pPr>
        <w:pStyle w:val="ListParagraph"/>
        <w:numPr>
          <w:ilvl w:val="0"/>
          <w:numId w:val="2"/>
        </w:numPr>
        <w:spacing w:after="60"/>
      </w:pPr>
      <w:r>
        <w:t xml:space="preserve">Posture and Vulnerability Management (PV)</w:t>
      </w:r>
    </w:p>
    <w:p>
      <w:pPr>
        <w:pStyle w:val="ListParagraph"/>
        <w:numPr>
          <w:ilvl w:val="0"/>
          <w:numId w:val="2"/>
        </w:numPr>
        <w:spacing w:after="60"/>
      </w:pPr>
      <w:r>
        <w:t xml:space="preserve">Endpoint Security (ES)</w:t>
      </w:r>
    </w:p>
    <w:p>
      <w:pPr>
        <w:pStyle w:val="ListParagraph"/>
        <w:numPr>
          <w:ilvl w:val="0"/>
          <w:numId w:val="2"/>
        </w:numPr>
        <w:spacing w:after="60"/>
      </w:pPr>
      <w:r>
        <w:t xml:space="preserve">Backup and Recovery (BR)</w:t>
      </w:r>
    </w:p>
    <w:p>
      <w:pPr>
        <w:pStyle w:val="ListParagraph"/>
        <w:numPr>
          <w:ilvl w:val="0"/>
          <w:numId w:val="2"/>
        </w:numPr>
        <w:spacing w:after="60"/>
      </w:pPr>
      <w:r>
        <w:t xml:space="preserve">DevOps Security (DS)</w:t>
      </w:r>
    </w:p>
    <w:p>
      <w:pPr>
        <w:pStyle w:val="ListParagraph"/>
        <w:numPr>
          <w:ilvl w:val="0"/>
          <w:numId w:val="2"/>
        </w:numPr>
        <w:spacing w:after="60"/>
      </w:pPr>
      <w:r>
        <w:t xml:space="preserve">Artificial Intelligence Security (AI) – adopted as forward-looking; applicable as AI workloads land</w:t>
      </w:r>
    </w:p>
    <w:p>
      <w:pPr>
        <w:pStyle w:val="Heading2"/>
        <w:spacing w:after="120" w:before="280"/>
      </w:pPr>
      <w:r>
        <w:rPr>
          <w:color w:val="2E74B5"/>
        </w:rPr>
        <w:t xml:space="preserve">3.2 Supporting Microsoft guidance</w:t>
      </w:r>
    </w:p>
    <w:p>
      <w:pPr>
        <w:pStyle w:val="ListParagraph"/>
        <w:numPr>
          <w:ilvl w:val="0"/>
          <w:numId w:val="2"/>
        </w:numPr>
        <w:spacing w:after="60"/>
      </w:pPr>
      <w:r>
        <w:rPr>
          <w:b/>
          <w:bCs/>
        </w:rPr>
        <w:t xml:space="preserve">Cloud Adoption Framework (CAF) – Secure methodology: </w:t>
      </w:r>
      <w:r>
        <w:t xml:space="preserve">security strategy, roles and responsibilities, and the Azure Top 10 security best practices.</w:t>
      </w:r>
    </w:p>
    <w:p>
      <w:pPr>
        <w:pStyle w:val="ListParagraph"/>
        <w:numPr>
          <w:ilvl w:val="0"/>
          <w:numId w:val="2"/>
        </w:numPr>
        <w:spacing w:after="60"/>
      </w:pPr>
      <w:r>
        <w:rPr>
          <w:b/>
          <w:bCs/>
        </w:rPr>
        <w:t xml:space="preserve">Azure Well-Architected Framework – Security pillar: </w:t>
      </w:r>
      <w:r>
        <w:t xml:space="preserve">workload-level design guidance (defence in depth, least privilege, encryption everywhere).</w:t>
      </w:r>
    </w:p>
    <w:p>
      <w:pPr>
        <w:pStyle w:val="ListParagraph"/>
        <w:numPr>
          <w:ilvl w:val="0"/>
          <w:numId w:val="2"/>
        </w:numPr>
        <w:spacing w:after="60"/>
      </w:pPr>
      <w:r>
        <w:rPr>
          <w:b/>
          <w:bCs/>
        </w:rPr>
        <w:t xml:space="preserve">Zero Trust: </w:t>
      </w:r>
      <w:r>
        <w:t xml:space="preserve">verify explicitly, use least-privilege access, assume breach. This is the design philosophy behind our identity, network and access decisions.</w:t>
      </w:r>
    </w:p>
    <w:p>
      <w:pPr>
        <w:pStyle w:val="ListParagraph"/>
        <w:numPr>
          <w:ilvl w:val="0"/>
          <w:numId w:val="2"/>
        </w:numPr>
        <w:spacing w:after="60"/>
      </w:pPr>
      <w:r>
        <w:rPr>
          <w:b/>
          <w:bCs/>
        </w:rPr>
        <w:t xml:space="preserve">Microsoft Secure Future Initiative (SFI): </w:t>
      </w:r>
      <w:r>
        <w:t xml:space="preserve">Microsoft's internal engineering security programme; MCSB v2 folds SFI-derived practices into customer guidance.</w:t>
      </w:r>
    </w:p>
    <w:p>
      <w:pPr>
        <w:pStyle w:val="ListParagraph"/>
        <w:numPr>
          <w:ilvl w:val="0"/>
          <w:numId w:val="2"/>
        </w:numPr>
        <w:spacing w:after="60"/>
      </w:pPr>
      <w:r>
        <w:rPr>
          <w:b/>
          <w:bCs/>
        </w:rPr>
        <w:t xml:space="preserve">Microsoft Cybersecurity Reference Architectures (MCRA): </w:t>
      </w:r>
      <w:r>
        <w:t xml:space="preserve">reference diagrams used when designing new capability.</w:t>
      </w:r>
    </w:p>
    <w:p>
      <w:pPr>
        <w:pStyle w:val="Heading2"/>
        <w:spacing w:after="120" w:before="280"/>
      </w:pPr>
      <w:r>
        <w:rPr>
          <w:color w:val="2E74B5"/>
        </w:rPr>
        <w:t xml:space="preserve">3.3 Industry standards and who uses them</w:t>
      </w:r>
    </w:p>
    <w:p>
      <w:pPr>
        <w:spacing w:after="120"/>
      </w:pPr>
      <w:r>
        <w:t xml:space="preserve">MCSB is pre-mapped to the frameworks most widely adopted across industry, which means implementing this document advances several compliance postures at once: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300"/>
      </w:tblGrid>
      <w:tr>
        <w:trPr>
          <w:tblHeader/>
        </w:trPr>
        <w:tc>
          <w:tcPr>
            <w:tcW w:type="dxa" w:w="2800"/>
            <w:shd w:fill="1F3864" w:val="clear"/>
            <w:tcMar>
              <w:top w:type="dxa" w:w="60"/>
              <w:left w:type="dxa" w:w="100"/>
              <w:bottom w:type="dxa" w:w="60"/>
              <w:right w:type="dxa" w:w="100"/>
            </w:tcMar>
          </w:tcPr>
          <w:p>
            <w:r>
              <w:rPr>
                <w:b/>
                <w:bCs/>
                <w:color w:val="FFFFFF"/>
                <w:sz w:val="20"/>
                <w:szCs w:val="20"/>
              </w:rPr>
              <w:t xml:space="preserve">Standard</w:t>
            </w:r>
          </w:p>
        </w:tc>
        <w:tc>
          <w:tcPr>
            <w:tcW w:type="dxa" w:w="3600"/>
            <w:shd w:fill="1F3864" w:val="clear"/>
            <w:tcMar>
              <w:top w:type="dxa" w:w="60"/>
              <w:left w:type="dxa" w:w="100"/>
              <w:bottom w:type="dxa" w:w="60"/>
              <w:right w:type="dxa" w:w="100"/>
            </w:tcMar>
          </w:tcPr>
          <w:p>
            <w:r>
              <w:rPr>
                <w:b/>
                <w:bCs/>
                <w:color w:val="FFFFFF"/>
                <w:sz w:val="20"/>
                <w:szCs w:val="20"/>
              </w:rPr>
              <w:t xml:space="preserve">Typical adopters</w:t>
            </w:r>
          </w:p>
        </w:tc>
        <w:tc>
          <w:tcPr>
            <w:tcW w:type="dxa" w:w="3300"/>
            <w:shd w:fill="1F3864" w:val="clear"/>
            <w:tcMar>
              <w:top w:type="dxa" w:w="60"/>
              <w:left w:type="dxa" w:w="100"/>
              <w:bottom w:type="dxa" w:w="60"/>
              <w:right w:type="dxa" w:w="100"/>
            </w:tcMar>
          </w:tcPr>
          <w:p>
            <w:r>
              <w:rPr>
                <w:b/>
                <w:bCs/>
                <w:color w:val="FFFFFF"/>
                <w:sz w:val="20"/>
                <w:szCs w:val="20"/>
              </w:rPr>
              <w:t xml:space="preserve">Relevance to CompX</w:t>
            </w:r>
          </w:p>
        </w:tc>
      </w:tr>
      <w:tr>
        <w:tc>
          <w:tcPr>
            <w:tcW w:type="dxa" w:w="2800"/>
            <w:tcMar>
              <w:top w:type="dxa" w:w="60"/>
              <w:left w:type="dxa" w:w="100"/>
              <w:bottom w:type="dxa" w:w="60"/>
              <w:right w:type="dxa" w:w="100"/>
            </w:tcMar>
          </w:tcPr>
          <w:p>
            <w:r>
              <w:rPr>
                <w:b w:val="false"/>
                <w:bCs w:val="false"/>
                <w:sz w:val="20"/>
                <w:szCs w:val="20"/>
              </w:rPr>
              <w:t xml:space="preserve">CIS Controls / CIS Azure Foundations Benchmark</w:t>
            </w:r>
          </w:p>
        </w:tc>
        <w:tc>
          <w:tcPr>
            <w:tcW w:type="dxa" w:w="3600"/>
            <w:tcMar>
              <w:top w:type="dxa" w:w="60"/>
              <w:left w:type="dxa" w:w="100"/>
              <w:bottom w:type="dxa" w:w="60"/>
              <w:right w:type="dxa" w:w="100"/>
            </w:tcMar>
          </w:tcPr>
          <w:p>
            <w:r>
              <w:rPr>
                <w:b w:val="false"/>
                <w:bCs w:val="false"/>
                <w:sz w:val="20"/>
                <w:szCs w:val="20"/>
              </w:rPr>
              <w:t xml:space="preserve">Broad cross-industry baseline; common in enterprises hardening cloud platforms</w:t>
            </w:r>
          </w:p>
        </w:tc>
        <w:tc>
          <w:tcPr>
            <w:tcW w:type="dxa" w:w="3300"/>
            <w:tcMar>
              <w:top w:type="dxa" w:w="60"/>
              <w:left w:type="dxa" w:w="100"/>
              <w:bottom w:type="dxa" w:w="60"/>
              <w:right w:type="dxa" w:w="100"/>
            </w:tcMar>
          </w:tcPr>
          <w:p>
            <w:r>
              <w:rPr>
                <w:b w:val="false"/>
                <w:bCs w:val="false"/>
                <w:sz w:val="20"/>
                <w:szCs w:val="20"/>
              </w:rPr>
              <w:t xml:space="preserve">Hardening baseline for subscriptions, NSGs, storage and SQL</w:t>
            </w:r>
          </w:p>
        </w:tc>
      </w:tr>
      <w:tr>
        <w:tc>
          <w:tcPr>
            <w:tcW w:type="dxa" w:w="2800"/>
            <w:shd w:fill="F2F2F2" w:val="clear"/>
            <w:tcMar>
              <w:top w:type="dxa" w:w="60"/>
              <w:left w:type="dxa" w:w="100"/>
              <w:bottom w:type="dxa" w:w="60"/>
              <w:right w:type="dxa" w:w="100"/>
            </w:tcMar>
          </w:tcPr>
          <w:p>
            <w:r>
              <w:rPr>
                <w:b w:val="false"/>
                <w:bCs w:val="false"/>
                <w:sz w:val="20"/>
                <w:szCs w:val="20"/>
              </w:rPr>
              <w:t xml:space="preserve">NIST CSF / NIST SP 800-53</w:t>
            </w:r>
          </w:p>
        </w:tc>
        <w:tc>
          <w:tcPr>
            <w:tcW w:type="dxa" w:w="3600"/>
            <w:shd w:fill="F2F2F2" w:val="clear"/>
            <w:tcMar>
              <w:top w:type="dxa" w:w="60"/>
              <w:left w:type="dxa" w:w="100"/>
              <w:bottom w:type="dxa" w:w="60"/>
              <w:right w:type="dxa" w:w="100"/>
            </w:tcMar>
          </w:tcPr>
          <w:p>
            <w:r>
              <w:rPr>
                <w:b w:val="false"/>
                <w:bCs w:val="false"/>
                <w:sz w:val="20"/>
                <w:szCs w:val="20"/>
              </w:rPr>
              <w:t xml:space="preserve">US federal agencies, defence supply chain, large financial services and healthcare</w:t>
            </w:r>
          </w:p>
        </w:tc>
        <w:tc>
          <w:tcPr>
            <w:tcW w:type="dxa" w:w="3300"/>
            <w:shd w:fill="F2F2F2" w:val="clear"/>
            <w:tcMar>
              <w:top w:type="dxa" w:w="60"/>
              <w:left w:type="dxa" w:w="100"/>
              <w:bottom w:type="dxa" w:w="60"/>
              <w:right w:type="dxa" w:w="100"/>
            </w:tcMar>
          </w:tcPr>
          <w:p>
            <w:r>
              <w:rPr>
                <w:b w:val="false"/>
                <w:bCs w:val="false"/>
                <w:sz w:val="20"/>
                <w:szCs w:val="20"/>
              </w:rPr>
              <w:t xml:space="preserve">Risk-management vocabulary (Identify/Protect/Detect/Respond/Recover) used in reporting</w:t>
            </w:r>
          </w:p>
        </w:tc>
      </w:tr>
      <w:tr>
        <w:tc>
          <w:tcPr>
            <w:tcW w:type="dxa" w:w="2800"/>
            <w:tcMar>
              <w:top w:type="dxa" w:w="60"/>
              <w:left w:type="dxa" w:w="100"/>
              <w:bottom w:type="dxa" w:w="60"/>
              <w:right w:type="dxa" w:w="100"/>
            </w:tcMar>
          </w:tcPr>
          <w:p>
            <w:r>
              <w:rPr>
                <w:b w:val="false"/>
                <w:bCs w:val="false"/>
                <w:sz w:val="20"/>
                <w:szCs w:val="20"/>
              </w:rPr>
              <w:t xml:space="preserve">ISO/IEC 27001</w:t>
            </w:r>
          </w:p>
        </w:tc>
        <w:tc>
          <w:tcPr>
            <w:tcW w:type="dxa" w:w="3600"/>
            <w:tcMar>
              <w:top w:type="dxa" w:w="60"/>
              <w:left w:type="dxa" w:w="100"/>
              <w:bottom w:type="dxa" w:w="60"/>
              <w:right w:type="dxa" w:w="100"/>
            </w:tcMar>
          </w:tcPr>
          <w:p>
            <w:r>
              <w:rPr>
                <w:b w:val="false"/>
                <w:bCs w:val="false"/>
                <w:sz w:val="20"/>
                <w:szCs w:val="20"/>
              </w:rPr>
              <w:t xml:space="preserve">Global enterprises, SaaS providers, banks, insurers – the common certification for customer assurance</w:t>
            </w:r>
          </w:p>
        </w:tc>
        <w:tc>
          <w:tcPr>
            <w:tcW w:type="dxa" w:w="3300"/>
            <w:tcMar>
              <w:top w:type="dxa" w:w="60"/>
              <w:left w:type="dxa" w:w="100"/>
              <w:bottom w:type="dxa" w:w="60"/>
              <w:right w:type="dxa" w:w="100"/>
            </w:tcMar>
          </w:tcPr>
          <w:p>
            <w:r>
              <w:rPr>
                <w:b w:val="false"/>
                <w:bCs w:val="false"/>
                <w:sz w:val="20"/>
                <w:szCs w:val="20"/>
              </w:rPr>
              <w:t xml:space="preserve">CompX certification scope; this framework provides Annex A technical evidence</w:t>
            </w:r>
          </w:p>
        </w:tc>
      </w:tr>
      <w:tr>
        <w:tc>
          <w:tcPr>
            <w:tcW w:type="dxa" w:w="2800"/>
            <w:shd w:fill="F2F2F2" w:val="clear"/>
            <w:tcMar>
              <w:top w:type="dxa" w:w="60"/>
              <w:left w:type="dxa" w:w="100"/>
              <w:bottom w:type="dxa" w:w="60"/>
              <w:right w:type="dxa" w:w="100"/>
            </w:tcMar>
          </w:tcPr>
          <w:p>
            <w:r>
              <w:rPr>
                <w:b w:val="false"/>
                <w:bCs w:val="false"/>
                <w:sz w:val="20"/>
                <w:szCs w:val="20"/>
              </w:rPr>
              <w:t xml:space="preserve">SOC 2</w:t>
            </w:r>
          </w:p>
        </w:tc>
        <w:tc>
          <w:tcPr>
            <w:tcW w:type="dxa" w:w="3600"/>
            <w:shd w:fill="F2F2F2" w:val="clear"/>
            <w:tcMar>
              <w:top w:type="dxa" w:w="60"/>
              <w:left w:type="dxa" w:w="100"/>
              <w:bottom w:type="dxa" w:w="60"/>
              <w:right w:type="dxa" w:w="100"/>
            </w:tcMar>
          </w:tcPr>
          <w:p>
            <w:r>
              <w:rPr>
                <w:b w:val="false"/>
                <w:bCs w:val="false"/>
                <w:sz w:val="20"/>
                <w:szCs w:val="20"/>
              </w:rPr>
              <w:t xml:space="preserve">SaaS and technology service providers</w:t>
            </w:r>
          </w:p>
        </w:tc>
        <w:tc>
          <w:tcPr>
            <w:tcW w:type="dxa" w:w="3300"/>
            <w:shd w:fill="F2F2F2" w:val="clear"/>
            <w:tcMar>
              <w:top w:type="dxa" w:w="60"/>
              <w:left w:type="dxa" w:w="100"/>
              <w:bottom w:type="dxa" w:w="60"/>
              <w:right w:type="dxa" w:w="100"/>
            </w:tcMar>
          </w:tcPr>
          <w:p>
            <w:r>
              <w:rPr>
                <w:b w:val="false"/>
                <w:bCs w:val="false"/>
                <w:sz w:val="20"/>
                <w:szCs w:val="20"/>
              </w:rPr>
              <w:t xml:space="preserve">Customer trust reporting; controls here map to Security TSC</w:t>
            </w:r>
          </w:p>
        </w:tc>
      </w:tr>
      <w:tr>
        <w:tc>
          <w:tcPr>
            <w:tcW w:type="dxa" w:w="2800"/>
            <w:tcMar>
              <w:top w:type="dxa" w:w="60"/>
              <w:left w:type="dxa" w:w="100"/>
              <w:bottom w:type="dxa" w:w="60"/>
              <w:right w:type="dxa" w:w="100"/>
            </w:tcMar>
          </w:tcPr>
          <w:p>
            <w:r>
              <w:rPr>
                <w:b w:val="false"/>
                <w:bCs w:val="false"/>
                <w:sz w:val="20"/>
                <w:szCs w:val="20"/>
              </w:rPr>
              <w:t xml:space="preserve">PCI-DSS v4</w:t>
            </w:r>
          </w:p>
        </w:tc>
        <w:tc>
          <w:tcPr>
            <w:tcW w:type="dxa" w:w="3600"/>
            <w:tcMar>
              <w:top w:type="dxa" w:w="60"/>
              <w:left w:type="dxa" w:w="100"/>
              <w:bottom w:type="dxa" w:w="60"/>
              <w:right w:type="dxa" w:w="100"/>
            </w:tcMar>
          </w:tcPr>
          <w:p>
            <w:r>
              <w:rPr>
                <w:b w:val="false"/>
                <w:bCs w:val="false"/>
                <w:sz w:val="20"/>
                <w:szCs w:val="20"/>
              </w:rPr>
              <w:t xml:space="preserve">Any organisation handling card data (retail, payments, travel)</w:t>
            </w:r>
          </w:p>
        </w:tc>
        <w:tc>
          <w:tcPr>
            <w:tcW w:type="dxa" w:w="3300"/>
            <w:tcMar>
              <w:top w:type="dxa" w:w="60"/>
              <w:left w:type="dxa" w:w="100"/>
              <w:bottom w:type="dxa" w:w="60"/>
              <w:right w:type="dxa" w:w="100"/>
            </w:tcMar>
          </w:tcPr>
          <w:p>
            <w:r>
              <w:rPr>
                <w:b w:val="false"/>
                <w:bCs w:val="false"/>
                <w:sz w:val="20"/>
                <w:szCs w:val="20"/>
              </w:rPr>
              <w:t xml:space="preserve">Applicable where payment flows touch our estate</w:t>
            </w:r>
          </w:p>
        </w:tc>
      </w:tr>
      <w:tr>
        <w:tc>
          <w:tcPr>
            <w:tcW w:type="dxa" w:w="2800"/>
            <w:shd w:fill="F2F2F2" w:val="clear"/>
            <w:tcMar>
              <w:top w:type="dxa" w:w="60"/>
              <w:left w:type="dxa" w:w="100"/>
              <w:bottom w:type="dxa" w:w="60"/>
              <w:right w:type="dxa" w:w="100"/>
            </w:tcMar>
          </w:tcPr>
          <w:p>
            <w:r>
              <w:rPr>
                <w:b w:val="false"/>
                <w:bCs w:val="false"/>
                <w:sz w:val="20"/>
                <w:szCs w:val="20"/>
              </w:rPr>
              <w:t xml:space="preserve">Zero Trust (NIST SP 800-207)</w:t>
            </w:r>
          </w:p>
        </w:tc>
        <w:tc>
          <w:tcPr>
            <w:tcW w:type="dxa" w:w="3600"/>
            <w:shd w:fill="F2F2F2" w:val="clear"/>
            <w:tcMar>
              <w:top w:type="dxa" w:w="60"/>
              <w:left w:type="dxa" w:w="100"/>
              <w:bottom w:type="dxa" w:w="60"/>
              <w:right w:type="dxa" w:w="100"/>
            </w:tcMar>
          </w:tcPr>
          <w:p>
            <w:r>
              <w:rPr>
                <w:b w:val="false"/>
                <w:bCs w:val="false"/>
                <w:sz w:val="20"/>
                <w:szCs w:val="20"/>
              </w:rPr>
              <w:t xml:space="preserve">Microsoft, Google (BeyondCorp), US government mandates, major banks</w:t>
            </w:r>
          </w:p>
        </w:tc>
        <w:tc>
          <w:tcPr>
            <w:tcW w:type="dxa" w:w="3300"/>
            <w:shd w:fill="F2F2F2" w:val="clear"/>
            <w:tcMar>
              <w:top w:type="dxa" w:w="60"/>
              <w:left w:type="dxa" w:w="100"/>
              <w:bottom w:type="dxa" w:w="60"/>
              <w:right w:type="dxa" w:w="100"/>
            </w:tcMar>
          </w:tcPr>
          <w:p>
            <w:r>
              <w:rPr>
                <w:b w:val="false"/>
                <w:bCs w:val="false"/>
                <w:sz w:val="20"/>
                <w:szCs w:val="20"/>
              </w:rPr>
              <w:t xml:space="preserve">Design philosophy for identity-first access</w:t>
            </w:r>
          </w:p>
        </w:tc>
      </w:tr>
    </w:tbl>
    <w:p>
      <w:pPr>
        <w:spacing w:after="120" w:before="160"/>
      </w:pPr>
      <w:r>
        <w:t xml:space="preserve">In practice, the world's largest Azure customers – regulated banks, insurers, airlines, healthcare and government – run this same pattern: MCSB/CIS as the technical baseline measured in Defender for Cloud or a third-party CSPM, ISO 27001 or SOC 2 as the certification wrapper, and Zero Trust as the architectural direction. CompX follows the same proven model rather than a bespoke one.</w:t>
      </w:r>
    </w:p>
    <w:p>
      <w:r>
        <w:br w:type="page"/>
      </w:r>
    </w:p>
    <w:p>
      <w:pPr>
        <w:pStyle w:val="Heading2"/>
        <w:spacing w:after="120" w:before="280"/>
      </w:pPr>
      <w:r>
        <w:rPr>
          <w:color w:val="2E74B5"/>
        </w:rPr>
        <w:t xml:space="preserve">3.4 Shared Responsibility Model</w:t>
      </w:r>
    </w:p>
    <w:p>
      <w:pPr>
        <w:spacing w:after="120"/>
      </w:pPr>
      <w:r>
        <w:t xml:space="preserve">Security in Azure is shared between Microsoft and CompX. Microsoft secures the physical infrastructure, host OS and hypervisor; CompX is always accountable for data, identities, access management and endpoint devices. The split shifts by service model: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2600"/>
        <w:gridCol w:w="1700"/>
      </w:tblGrid>
      <w:tr>
        <w:trPr>
          <w:tblHeader/>
        </w:trPr>
        <w:tc>
          <w:tcPr>
            <w:tcW w:type="dxa" w:w="3300"/>
            <w:shd w:fill="1F3864" w:val="clear"/>
            <w:tcMar>
              <w:top w:type="dxa" w:w="60"/>
              <w:left w:type="dxa" w:w="100"/>
              <w:bottom w:type="dxa" w:w="60"/>
              <w:right w:type="dxa" w:w="100"/>
            </w:tcMar>
          </w:tcPr>
          <w:p>
            <w:r>
              <w:rPr>
                <w:b/>
                <w:bCs/>
                <w:color w:val="FFFFFF"/>
                <w:sz w:val="20"/>
                <w:szCs w:val="20"/>
              </w:rPr>
              <w:t xml:space="preserve">Layer</w:t>
            </w:r>
          </w:p>
        </w:tc>
        <w:tc>
          <w:tcPr>
            <w:tcW w:type="dxa" w:w="2100"/>
            <w:shd w:fill="1F3864" w:val="clear"/>
            <w:tcMar>
              <w:top w:type="dxa" w:w="60"/>
              <w:left w:type="dxa" w:w="100"/>
              <w:bottom w:type="dxa" w:w="60"/>
              <w:right w:type="dxa" w:w="100"/>
            </w:tcMar>
          </w:tcPr>
          <w:p>
            <w:r>
              <w:rPr>
                <w:b/>
                <w:bCs/>
                <w:color w:val="FFFFFF"/>
                <w:sz w:val="20"/>
                <w:szCs w:val="20"/>
              </w:rPr>
              <w:t xml:space="preserve">IaaS (VMs)</w:t>
            </w:r>
          </w:p>
        </w:tc>
        <w:tc>
          <w:tcPr>
            <w:tcW w:type="dxa" w:w="2600"/>
            <w:shd w:fill="1F3864" w:val="clear"/>
            <w:tcMar>
              <w:top w:type="dxa" w:w="60"/>
              <w:left w:type="dxa" w:w="100"/>
              <w:bottom w:type="dxa" w:w="60"/>
              <w:right w:type="dxa" w:w="100"/>
            </w:tcMar>
          </w:tcPr>
          <w:p>
            <w:r>
              <w:rPr>
                <w:b/>
                <w:bCs/>
                <w:color w:val="FFFFFF"/>
                <w:sz w:val="20"/>
                <w:szCs w:val="20"/>
              </w:rPr>
              <w:t xml:space="preserve">PaaS (SQL, App Service, AKS)</w:t>
            </w:r>
          </w:p>
        </w:tc>
        <w:tc>
          <w:tcPr>
            <w:tcW w:type="dxa" w:w="1700"/>
            <w:shd w:fill="1F3864" w:val="clear"/>
            <w:tcMar>
              <w:top w:type="dxa" w:w="60"/>
              <w:left w:type="dxa" w:w="100"/>
              <w:bottom w:type="dxa" w:w="60"/>
              <w:right w:type="dxa" w:w="100"/>
            </w:tcMar>
          </w:tcPr>
          <w:p>
            <w:r>
              <w:rPr>
                <w:b/>
                <w:bCs/>
                <w:color w:val="FFFFFF"/>
                <w:sz w:val="20"/>
                <w:szCs w:val="20"/>
              </w:rPr>
              <w:t xml:space="preserve">SaaS (M365)</w:t>
            </w:r>
          </w:p>
        </w:tc>
      </w:tr>
      <w:tr>
        <w:tc>
          <w:tcPr>
            <w:tcW w:type="dxa" w:w="3300"/>
            <w:tcMar>
              <w:top w:type="dxa" w:w="60"/>
              <w:left w:type="dxa" w:w="100"/>
              <w:bottom w:type="dxa" w:w="60"/>
              <w:right w:type="dxa" w:w="100"/>
            </w:tcMar>
          </w:tcPr>
          <w:p>
            <w:r>
              <w:rPr>
                <w:b w:val="false"/>
                <w:bCs w:val="false"/>
                <w:sz w:val="20"/>
                <w:szCs w:val="20"/>
              </w:rPr>
              <w:t xml:space="preserve">Data classification &amp; protection</w:t>
            </w:r>
          </w:p>
        </w:tc>
        <w:tc>
          <w:tcPr>
            <w:tcW w:type="dxa" w:w="2100"/>
            <w:tcMar>
              <w:top w:type="dxa" w:w="60"/>
              <w:left w:type="dxa" w:w="100"/>
              <w:bottom w:type="dxa" w:w="60"/>
              <w:right w:type="dxa" w:w="100"/>
            </w:tcMar>
          </w:tcPr>
          <w:p>
            <w:r>
              <w:rPr>
                <w:b w:val="false"/>
                <w:bCs w:val="false"/>
                <w:sz w:val="20"/>
                <w:szCs w:val="20"/>
              </w:rPr>
              <w:t xml:space="preserve">CompX</w:t>
            </w:r>
          </w:p>
        </w:tc>
        <w:tc>
          <w:tcPr>
            <w:tcW w:type="dxa" w:w="2600"/>
            <w:tcMar>
              <w:top w:type="dxa" w:w="60"/>
              <w:left w:type="dxa" w:w="100"/>
              <w:bottom w:type="dxa" w:w="60"/>
              <w:right w:type="dxa" w:w="100"/>
            </w:tcMar>
          </w:tcPr>
          <w:p>
            <w:r>
              <w:rPr>
                <w:b w:val="false"/>
                <w:bCs w:val="false"/>
                <w:sz w:val="20"/>
                <w:szCs w:val="20"/>
              </w:rPr>
              <w:t xml:space="preserve">CompX</w:t>
            </w:r>
          </w:p>
        </w:tc>
        <w:tc>
          <w:tcPr>
            <w:tcW w:type="dxa" w:w="1700"/>
            <w:tcMar>
              <w:top w:type="dxa" w:w="60"/>
              <w:left w:type="dxa" w:w="100"/>
              <w:bottom w:type="dxa" w:w="60"/>
              <w:right w:type="dxa" w:w="100"/>
            </w:tcMar>
          </w:tcPr>
          <w:p>
            <w:r>
              <w:rPr>
                <w:b w:val="false"/>
                <w:bCs w:val="false"/>
                <w:sz w:val="20"/>
                <w:szCs w:val="20"/>
              </w:rPr>
              <w:t xml:space="preserve">CompX</w:t>
            </w:r>
          </w:p>
        </w:tc>
      </w:tr>
      <w:tr>
        <w:tc>
          <w:tcPr>
            <w:tcW w:type="dxa" w:w="3300"/>
            <w:shd w:fill="F2F2F2" w:val="clear"/>
            <w:tcMar>
              <w:top w:type="dxa" w:w="60"/>
              <w:left w:type="dxa" w:w="100"/>
              <w:bottom w:type="dxa" w:w="60"/>
              <w:right w:type="dxa" w:w="100"/>
            </w:tcMar>
          </w:tcPr>
          <w:p>
            <w:r>
              <w:rPr>
                <w:b w:val="false"/>
                <w:bCs w:val="false"/>
                <w:sz w:val="20"/>
                <w:szCs w:val="20"/>
              </w:rPr>
              <w:t xml:space="preserve">Identity &amp; access</w:t>
            </w:r>
          </w:p>
        </w:tc>
        <w:tc>
          <w:tcPr>
            <w:tcW w:type="dxa" w:w="2100"/>
            <w:shd w:fill="F2F2F2" w:val="clear"/>
            <w:tcMar>
              <w:top w:type="dxa" w:w="60"/>
              <w:left w:type="dxa" w:w="100"/>
              <w:bottom w:type="dxa" w:w="60"/>
              <w:right w:type="dxa" w:w="100"/>
            </w:tcMar>
          </w:tcPr>
          <w:p>
            <w:r>
              <w:rPr>
                <w:b w:val="false"/>
                <w:bCs w:val="false"/>
                <w:sz w:val="20"/>
                <w:szCs w:val="20"/>
              </w:rPr>
              <w:t xml:space="preserve">CompX</w:t>
            </w:r>
          </w:p>
        </w:tc>
        <w:tc>
          <w:tcPr>
            <w:tcW w:type="dxa" w:w="2600"/>
            <w:shd w:fill="F2F2F2" w:val="clear"/>
            <w:tcMar>
              <w:top w:type="dxa" w:w="60"/>
              <w:left w:type="dxa" w:w="100"/>
              <w:bottom w:type="dxa" w:w="60"/>
              <w:right w:type="dxa" w:w="100"/>
            </w:tcMar>
          </w:tcPr>
          <w:p>
            <w:r>
              <w:rPr>
                <w:b w:val="false"/>
                <w:bCs w:val="false"/>
                <w:sz w:val="20"/>
                <w:szCs w:val="20"/>
              </w:rPr>
              <w:t xml:space="preserve">CompX</w:t>
            </w:r>
          </w:p>
        </w:tc>
        <w:tc>
          <w:tcPr>
            <w:tcW w:type="dxa" w:w="1700"/>
            <w:shd w:fill="F2F2F2" w:val="clear"/>
            <w:tcMar>
              <w:top w:type="dxa" w:w="60"/>
              <w:left w:type="dxa" w:w="100"/>
              <w:bottom w:type="dxa" w:w="60"/>
              <w:right w:type="dxa" w:w="100"/>
            </w:tcMar>
          </w:tcPr>
          <w:p>
            <w:r>
              <w:rPr>
                <w:b w:val="false"/>
                <w:bCs w:val="false"/>
                <w:sz w:val="20"/>
                <w:szCs w:val="20"/>
              </w:rPr>
              <w:t xml:space="preserve">CompX</w:t>
            </w:r>
          </w:p>
        </w:tc>
      </w:tr>
      <w:tr>
        <w:tc>
          <w:tcPr>
            <w:tcW w:type="dxa" w:w="3300"/>
            <w:tcMar>
              <w:top w:type="dxa" w:w="60"/>
              <w:left w:type="dxa" w:w="100"/>
              <w:bottom w:type="dxa" w:w="60"/>
              <w:right w:type="dxa" w:w="100"/>
            </w:tcMar>
          </w:tcPr>
          <w:p>
            <w:r>
              <w:rPr>
                <w:b w:val="false"/>
                <w:bCs w:val="false"/>
                <w:sz w:val="20"/>
                <w:szCs w:val="20"/>
              </w:rPr>
              <w:t xml:space="preserve">Application-level controls</w:t>
            </w:r>
          </w:p>
        </w:tc>
        <w:tc>
          <w:tcPr>
            <w:tcW w:type="dxa" w:w="2100"/>
            <w:tcMar>
              <w:top w:type="dxa" w:w="60"/>
              <w:left w:type="dxa" w:w="100"/>
              <w:bottom w:type="dxa" w:w="60"/>
              <w:right w:type="dxa" w:w="100"/>
            </w:tcMar>
          </w:tcPr>
          <w:p>
            <w:r>
              <w:rPr>
                <w:b w:val="false"/>
                <w:bCs w:val="false"/>
                <w:sz w:val="20"/>
                <w:szCs w:val="20"/>
              </w:rPr>
              <w:t xml:space="preserve">CompX</w:t>
            </w:r>
          </w:p>
        </w:tc>
        <w:tc>
          <w:tcPr>
            <w:tcW w:type="dxa" w:w="2600"/>
            <w:tcMar>
              <w:top w:type="dxa" w:w="60"/>
              <w:left w:type="dxa" w:w="100"/>
              <w:bottom w:type="dxa" w:w="60"/>
              <w:right w:type="dxa" w:w="100"/>
            </w:tcMar>
          </w:tcPr>
          <w:p>
            <w:r>
              <w:rPr>
                <w:b w:val="false"/>
                <w:bCs w:val="false"/>
                <w:sz w:val="20"/>
                <w:szCs w:val="20"/>
              </w:rPr>
              <w:t xml:space="preserve">CompX</w:t>
            </w:r>
          </w:p>
        </w:tc>
        <w:tc>
          <w:tcPr>
            <w:tcW w:type="dxa" w:w="1700"/>
            <w:tcMar>
              <w:top w:type="dxa" w:w="60"/>
              <w:left w:type="dxa" w:w="100"/>
              <w:bottom w:type="dxa" w:w="60"/>
              <w:right w:type="dxa" w:w="100"/>
            </w:tcMar>
          </w:tcPr>
          <w:p>
            <w:r>
              <w:rPr>
                <w:b w:val="false"/>
                <w:bCs w:val="false"/>
                <w:sz w:val="20"/>
                <w:szCs w:val="20"/>
              </w:rPr>
              <w:t xml:space="preserve">Shared</w:t>
            </w:r>
          </w:p>
        </w:tc>
      </w:tr>
      <w:tr>
        <w:tc>
          <w:tcPr>
            <w:tcW w:type="dxa" w:w="3300"/>
            <w:shd w:fill="F2F2F2" w:val="clear"/>
            <w:tcMar>
              <w:top w:type="dxa" w:w="60"/>
              <w:left w:type="dxa" w:w="100"/>
              <w:bottom w:type="dxa" w:w="60"/>
              <w:right w:type="dxa" w:w="100"/>
            </w:tcMar>
          </w:tcPr>
          <w:p>
            <w:r>
              <w:rPr>
                <w:b w:val="false"/>
                <w:bCs w:val="false"/>
                <w:sz w:val="20"/>
                <w:szCs w:val="20"/>
              </w:rPr>
              <w:t xml:space="preserve">Network controls (NSG, FW, PE)</w:t>
            </w:r>
          </w:p>
        </w:tc>
        <w:tc>
          <w:tcPr>
            <w:tcW w:type="dxa" w:w="2100"/>
            <w:shd w:fill="F2F2F2" w:val="clear"/>
            <w:tcMar>
              <w:top w:type="dxa" w:w="60"/>
              <w:left w:type="dxa" w:w="100"/>
              <w:bottom w:type="dxa" w:w="60"/>
              <w:right w:type="dxa" w:w="100"/>
            </w:tcMar>
          </w:tcPr>
          <w:p>
            <w:r>
              <w:rPr>
                <w:b w:val="false"/>
                <w:bCs w:val="false"/>
                <w:sz w:val="20"/>
                <w:szCs w:val="20"/>
              </w:rPr>
              <w:t xml:space="preserve">CompX</w:t>
            </w:r>
          </w:p>
        </w:tc>
        <w:tc>
          <w:tcPr>
            <w:tcW w:type="dxa" w:w="2600"/>
            <w:shd w:fill="F2F2F2" w:val="clear"/>
            <w:tcMar>
              <w:top w:type="dxa" w:w="60"/>
              <w:left w:type="dxa" w:w="100"/>
              <w:bottom w:type="dxa" w:w="60"/>
              <w:right w:type="dxa" w:w="100"/>
            </w:tcMar>
          </w:tcPr>
          <w:p>
            <w:r>
              <w:rPr>
                <w:b w:val="false"/>
                <w:bCs w:val="false"/>
                <w:sz w:val="20"/>
                <w:szCs w:val="20"/>
              </w:rPr>
              <w:t xml:space="preserve">Shared</w:t>
            </w:r>
          </w:p>
        </w:tc>
        <w:tc>
          <w:tcPr>
            <w:tcW w:type="dxa" w:w="1700"/>
            <w:shd w:fill="F2F2F2" w:val="clear"/>
            <w:tcMar>
              <w:top w:type="dxa" w:w="60"/>
              <w:left w:type="dxa" w:w="100"/>
              <w:bottom w:type="dxa" w:w="60"/>
              <w:right w:type="dxa" w:w="100"/>
            </w:tcMar>
          </w:tcPr>
          <w:p>
            <w:r>
              <w:rPr>
                <w:b w:val="false"/>
                <w:bCs w:val="false"/>
                <w:sz w:val="20"/>
                <w:szCs w:val="20"/>
              </w:rPr>
              <w:t xml:space="preserve">Microsoft</w:t>
            </w:r>
          </w:p>
        </w:tc>
      </w:tr>
      <w:tr>
        <w:tc>
          <w:tcPr>
            <w:tcW w:type="dxa" w:w="3300"/>
            <w:tcMar>
              <w:top w:type="dxa" w:w="60"/>
              <w:left w:type="dxa" w:w="100"/>
              <w:bottom w:type="dxa" w:w="60"/>
              <w:right w:type="dxa" w:w="100"/>
            </w:tcMar>
          </w:tcPr>
          <w:p>
            <w:r>
              <w:rPr>
                <w:b w:val="false"/>
                <w:bCs w:val="false"/>
                <w:sz w:val="20"/>
                <w:szCs w:val="20"/>
              </w:rPr>
              <w:t xml:space="preserve">Guest OS patching &amp; hardening</w:t>
            </w:r>
          </w:p>
        </w:tc>
        <w:tc>
          <w:tcPr>
            <w:tcW w:type="dxa" w:w="2100"/>
            <w:tcMar>
              <w:top w:type="dxa" w:w="60"/>
              <w:left w:type="dxa" w:w="100"/>
              <w:bottom w:type="dxa" w:w="60"/>
              <w:right w:type="dxa" w:w="100"/>
            </w:tcMar>
          </w:tcPr>
          <w:p>
            <w:r>
              <w:rPr>
                <w:b w:val="false"/>
                <w:bCs w:val="false"/>
                <w:sz w:val="20"/>
                <w:szCs w:val="20"/>
              </w:rPr>
              <w:t xml:space="preserve">CompX</w:t>
            </w:r>
          </w:p>
        </w:tc>
        <w:tc>
          <w:tcPr>
            <w:tcW w:type="dxa" w:w="2600"/>
            <w:tcMar>
              <w:top w:type="dxa" w:w="60"/>
              <w:left w:type="dxa" w:w="100"/>
              <w:bottom w:type="dxa" w:w="60"/>
              <w:right w:type="dxa" w:w="100"/>
            </w:tcMar>
          </w:tcPr>
          <w:p>
            <w:r>
              <w:rPr>
                <w:b w:val="false"/>
                <w:bCs w:val="false"/>
                <w:sz w:val="20"/>
                <w:szCs w:val="20"/>
              </w:rPr>
              <w:t xml:space="preserve">Microsoft (mostly)</w:t>
            </w:r>
          </w:p>
        </w:tc>
        <w:tc>
          <w:tcPr>
            <w:tcW w:type="dxa" w:w="1700"/>
            <w:tcMar>
              <w:top w:type="dxa" w:w="60"/>
              <w:left w:type="dxa" w:w="100"/>
              <w:bottom w:type="dxa" w:w="60"/>
              <w:right w:type="dxa" w:w="100"/>
            </w:tcMar>
          </w:tcPr>
          <w:p>
            <w:r>
              <w:rPr>
                <w:b w:val="false"/>
                <w:bCs w:val="false"/>
                <w:sz w:val="20"/>
                <w:szCs w:val="20"/>
              </w:rPr>
              <w:t xml:space="preserve">Microsoft</w:t>
            </w:r>
          </w:p>
        </w:tc>
      </w:tr>
      <w:tr>
        <w:tc>
          <w:tcPr>
            <w:tcW w:type="dxa" w:w="3300"/>
            <w:shd w:fill="F2F2F2" w:val="clear"/>
            <w:tcMar>
              <w:top w:type="dxa" w:w="60"/>
              <w:left w:type="dxa" w:w="100"/>
              <w:bottom w:type="dxa" w:w="60"/>
              <w:right w:type="dxa" w:w="100"/>
            </w:tcMar>
          </w:tcPr>
          <w:p>
            <w:r>
              <w:rPr>
                <w:b w:val="false"/>
                <w:bCs w:val="false"/>
                <w:sz w:val="20"/>
                <w:szCs w:val="20"/>
              </w:rPr>
              <w:t xml:space="preserve">Host / hypervisor / physical</w:t>
            </w:r>
          </w:p>
        </w:tc>
        <w:tc>
          <w:tcPr>
            <w:tcW w:type="dxa" w:w="2100"/>
            <w:shd w:fill="F2F2F2" w:val="clear"/>
            <w:tcMar>
              <w:top w:type="dxa" w:w="60"/>
              <w:left w:type="dxa" w:w="100"/>
              <w:bottom w:type="dxa" w:w="60"/>
              <w:right w:type="dxa" w:w="100"/>
            </w:tcMar>
          </w:tcPr>
          <w:p>
            <w:r>
              <w:rPr>
                <w:b w:val="false"/>
                <w:bCs w:val="false"/>
                <w:sz w:val="20"/>
                <w:szCs w:val="20"/>
              </w:rPr>
              <w:t xml:space="preserve">Microsoft</w:t>
            </w:r>
          </w:p>
        </w:tc>
        <w:tc>
          <w:tcPr>
            <w:tcW w:type="dxa" w:w="2600"/>
            <w:shd w:fill="F2F2F2" w:val="clear"/>
            <w:tcMar>
              <w:top w:type="dxa" w:w="60"/>
              <w:left w:type="dxa" w:w="100"/>
              <w:bottom w:type="dxa" w:w="60"/>
              <w:right w:type="dxa" w:w="100"/>
            </w:tcMar>
          </w:tcPr>
          <w:p>
            <w:r>
              <w:rPr>
                <w:b w:val="false"/>
                <w:bCs w:val="false"/>
                <w:sz w:val="20"/>
                <w:szCs w:val="20"/>
              </w:rPr>
              <w:t xml:space="preserve">Microsoft</w:t>
            </w:r>
          </w:p>
        </w:tc>
        <w:tc>
          <w:tcPr>
            <w:tcW w:type="dxa" w:w="1700"/>
            <w:shd w:fill="F2F2F2" w:val="clear"/>
            <w:tcMar>
              <w:top w:type="dxa" w:w="60"/>
              <w:left w:type="dxa" w:w="100"/>
              <w:bottom w:type="dxa" w:w="60"/>
              <w:right w:type="dxa" w:w="100"/>
            </w:tcMar>
          </w:tcPr>
          <w:p>
            <w:r>
              <w:rPr>
                <w:b w:val="false"/>
                <w:bCs w:val="false"/>
                <w:sz w:val="20"/>
                <w:szCs w:val="20"/>
              </w:rPr>
              <w:t xml:space="preserve">Microsoft</w:t>
            </w:r>
          </w:p>
        </w:tc>
      </w:tr>
    </w:tbl>
    <w:p>
      <w:pPr>
        <w:spacing w:after="120" w:before="160"/>
      </w:pPr>
      <w:r>
        <w:rPr>
          <w:i/>
          <w:iCs/>
        </w:rPr>
        <w:t xml:space="preserve">Practical implication: “Azure is secure” never means “our workload is secure.” Every misconfiguration finding in Section 7 sits on our side of the line.</w:t>
      </w:r>
    </w:p>
    <w:p>
      <w:pPr>
        <w:pStyle w:val="Heading2"/>
        <w:spacing w:after="120" w:before="280"/>
      </w:pPr>
      <w:r>
        <w:rPr>
          <w:color w:val="2E74B5"/>
        </w:rPr>
        <w:t xml:space="preserve">3.5 Zero Trust Pillars Applied to CompX</w:t>
      </w:r>
    </w:p>
    <w:p>
      <w:pPr>
        <w:spacing w:after="120"/>
      </w:pPr>
      <w:r>
        <w:t xml:space="preserve">Zero Trust is the architectural direction for this framework: verify explicitly, use least privilege, and assume breach. The six pillars and what each means in our estate: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1F3864" w:val="clear"/>
            <w:tcMar>
              <w:top w:type="dxa" w:w="60"/>
              <w:left w:type="dxa" w:w="100"/>
              <w:bottom w:type="dxa" w:w="60"/>
              <w:right w:type="dxa" w:w="100"/>
            </w:tcMar>
          </w:tcPr>
          <w:p>
            <w:r>
              <w:rPr>
                <w:b/>
                <w:bCs/>
                <w:color w:val="FFFFFF"/>
                <w:sz w:val="20"/>
                <w:szCs w:val="20"/>
              </w:rPr>
              <w:t xml:space="preserve">Pillar</w:t>
            </w:r>
          </w:p>
        </w:tc>
        <w:tc>
          <w:tcPr>
            <w:tcW w:type="dxa" w:w="7700"/>
            <w:shd w:fill="1F3864" w:val="clear"/>
            <w:tcMar>
              <w:top w:type="dxa" w:w="60"/>
              <w:left w:type="dxa" w:w="100"/>
              <w:bottom w:type="dxa" w:w="60"/>
              <w:right w:type="dxa" w:w="100"/>
            </w:tcMar>
          </w:tcPr>
          <w:p>
            <w:r>
              <w:rPr>
                <w:b/>
                <w:bCs/>
                <w:color w:val="FFFFFF"/>
                <w:sz w:val="20"/>
                <w:szCs w:val="20"/>
              </w:rPr>
              <w:t xml:space="preserve">CompX implementation</w:t>
            </w:r>
          </w:p>
        </w:tc>
      </w:tr>
      <w:tr>
        <w:tc>
          <w:tcPr>
            <w:tcW w:type="dxa" w:w="2000"/>
            <w:tcMar>
              <w:top w:type="dxa" w:w="60"/>
              <w:left w:type="dxa" w:w="100"/>
              <w:bottom w:type="dxa" w:w="60"/>
              <w:right w:type="dxa" w:w="100"/>
            </w:tcMar>
          </w:tcPr>
          <w:p>
            <w:r>
              <w:rPr>
                <w:b w:val="false"/>
                <w:bCs w:val="false"/>
                <w:sz w:val="20"/>
                <w:szCs w:val="20"/>
              </w:rPr>
              <w:t xml:space="preserve">Identities</w:t>
            </w:r>
          </w:p>
        </w:tc>
        <w:tc>
          <w:tcPr>
            <w:tcW w:type="dxa" w:w="7700"/>
            <w:tcMar>
              <w:top w:type="dxa" w:w="60"/>
              <w:left w:type="dxa" w:w="100"/>
              <w:bottom w:type="dxa" w:w="60"/>
              <w:right w:type="dxa" w:w="100"/>
            </w:tcMar>
          </w:tcPr>
          <w:p>
            <w:r>
              <w:rPr>
                <w:b w:val="false"/>
                <w:bCs w:val="false"/>
                <w:sz w:val="20"/>
                <w:szCs w:val="20"/>
              </w:rPr>
              <w:t xml:space="preserve">Entra ID as single identity plane; MFA + Conditional Access; PIM for privileged roles; Managed Identity for workloads; regular access reviews</w:t>
            </w:r>
          </w:p>
        </w:tc>
      </w:tr>
      <w:tr>
        <w:tc>
          <w:tcPr>
            <w:tcW w:type="dxa" w:w="2000"/>
            <w:shd w:fill="F2F2F2" w:val="clear"/>
            <w:tcMar>
              <w:top w:type="dxa" w:w="60"/>
              <w:left w:type="dxa" w:w="100"/>
              <w:bottom w:type="dxa" w:w="60"/>
              <w:right w:type="dxa" w:w="100"/>
            </w:tcMar>
          </w:tcPr>
          <w:p>
            <w:r>
              <w:rPr>
                <w:b w:val="false"/>
                <w:bCs w:val="false"/>
                <w:sz w:val="20"/>
                <w:szCs w:val="20"/>
              </w:rPr>
              <w:t xml:space="preserve">Endpoints</w:t>
            </w:r>
          </w:p>
        </w:tc>
        <w:tc>
          <w:tcPr>
            <w:tcW w:type="dxa" w:w="7700"/>
            <w:shd w:fill="F2F2F2" w:val="clear"/>
            <w:tcMar>
              <w:top w:type="dxa" w:w="60"/>
              <w:left w:type="dxa" w:w="100"/>
              <w:bottom w:type="dxa" w:w="60"/>
              <w:right w:type="dxa" w:w="100"/>
            </w:tcMar>
          </w:tcPr>
          <w:p>
            <w:r>
              <w:rPr>
                <w:b w:val="false"/>
                <w:bCs w:val="false"/>
                <w:sz w:val="20"/>
                <w:szCs w:val="20"/>
              </w:rPr>
              <w:t xml:space="preserve">Defender for Endpoint/Servers; compliance-gated access for admin devices; Citrix as the managed front door into the PHI enclave</w:t>
            </w:r>
          </w:p>
        </w:tc>
      </w:tr>
      <w:tr>
        <w:tc>
          <w:tcPr>
            <w:tcW w:type="dxa" w:w="2000"/>
            <w:tcMar>
              <w:top w:type="dxa" w:w="60"/>
              <w:left w:type="dxa" w:w="100"/>
              <w:bottom w:type="dxa" w:w="60"/>
              <w:right w:type="dxa" w:w="100"/>
            </w:tcMar>
          </w:tcPr>
          <w:p>
            <w:r>
              <w:rPr>
                <w:b w:val="false"/>
                <w:bCs w:val="false"/>
                <w:sz w:val="20"/>
                <w:szCs w:val="20"/>
              </w:rPr>
              <w:t xml:space="preserve">Applications</w:t>
            </w:r>
          </w:p>
        </w:tc>
        <w:tc>
          <w:tcPr>
            <w:tcW w:type="dxa" w:w="7700"/>
            <w:tcMar>
              <w:top w:type="dxa" w:w="60"/>
              <w:left w:type="dxa" w:w="100"/>
              <w:bottom w:type="dxa" w:w="60"/>
              <w:right w:type="dxa" w:w="100"/>
            </w:tcMar>
          </w:tcPr>
          <w:p>
            <w:r>
              <w:rPr>
                <w:b w:val="false"/>
                <w:bCs w:val="false"/>
                <w:sz w:val="20"/>
                <w:szCs w:val="20"/>
              </w:rPr>
              <w:t xml:space="preserve">App registrations governed; least-privilege API permissions; OAuth consent restricted; workload identity federation for pipelines</w:t>
            </w:r>
          </w:p>
        </w:tc>
      </w:tr>
      <w:tr>
        <w:tc>
          <w:tcPr>
            <w:tcW w:type="dxa" w:w="2000"/>
            <w:shd w:fill="F2F2F2" w:val="clear"/>
            <w:tcMar>
              <w:top w:type="dxa" w:w="60"/>
              <w:left w:type="dxa" w:w="100"/>
              <w:bottom w:type="dxa" w:w="60"/>
              <w:right w:type="dxa" w:w="100"/>
            </w:tcMar>
          </w:tcPr>
          <w:p>
            <w:r>
              <w:rPr>
                <w:b w:val="false"/>
                <w:bCs w:val="false"/>
                <w:sz w:val="20"/>
                <w:szCs w:val="20"/>
              </w:rPr>
              <w:t xml:space="preserve">Data</w:t>
            </w:r>
          </w:p>
        </w:tc>
        <w:tc>
          <w:tcPr>
            <w:tcW w:type="dxa" w:w="7700"/>
            <w:shd w:fill="F2F2F2" w:val="clear"/>
            <w:tcMar>
              <w:top w:type="dxa" w:w="60"/>
              <w:left w:type="dxa" w:w="100"/>
              <w:bottom w:type="dxa" w:w="60"/>
              <w:right w:type="dxa" w:w="100"/>
            </w:tcMar>
          </w:tcPr>
          <w:p>
            <w:r>
              <w:rPr>
                <w:b w:val="false"/>
                <w:bCs w:val="false"/>
                <w:sz w:val="20"/>
                <w:szCs w:val="20"/>
              </w:rPr>
              <w:t xml:space="preserve">Classification (Purview roadmap); encryption in transit (TLS) and at rest (CMK for sensitive classes); DLP on sanctioned egress channels</w:t>
            </w:r>
          </w:p>
        </w:tc>
      </w:tr>
      <w:tr>
        <w:tc>
          <w:tcPr>
            <w:tcW w:type="dxa" w:w="2000"/>
            <w:tcMar>
              <w:top w:type="dxa" w:w="60"/>
              <w:left w:type="dxa" w:w="100"/>
              <w:bottom w:type="dxa" w:w="60"/>
              <w:right w:type="dxa" w:w="100"/>
            </w:tcMar>
          </w:tcPr>
          <w:p>
            <w:r>
              <w:rPr>
                <w:b w:val="false"/>
                <w:bCs w:val="false"/>
                <w:sz w:val="20"/>
                <w:szCs w:val="20"/>
              </w:rPr>
              <w:t xml:space="preserve">Infrastructure</w:t>
            </w:r>
          </w:p>
        </w:tc>
        <w:tc>
          <w:tcPr>
            <w:tcW w:type="dxa" w:w="7700"/>
            <w:tcMar>
              <w:top w:type="dxa" w:w="60"/>
              <w:left w:type="dxa" w:w="100"/>
              <w:bottom w:type="dxa" w:w="60"/>
              <w:right w:type="dxa" w:w="100"/>
            </w:tcMar>
          </w:tcPr>
          <w:p>
            <w:r>
              <w:rPr>
                <w:b w:val="false"/>
                <w:bCs w:val="false"/>
                <w:sz w:val="20"/>
                <w:szCs w:val="20"/>
              </w:rPr>
              <w:t xml:space="preserve">IaC with policy-as-code; JIT VM access; hardening baselines per Section 4.10; drift detection</w:t>
            </w:r>
          </w:p>
        </w:tc>
      </w:tr>
      <w:tr>
        <w:tc>
          <w:tcPr>
            <w:tcW w:type="dxa" w:w="2000"/>
            <w:shd w:fill="F2F2F2" w:val="clear"/>
            <w:tcMar>
              <w:top w:type="dxa" w:w="60"/>
              <w:left w:type="dxa" w:w="100"/>
              <w:bottom w:type="dxa" w:w="60"/>
              <w:right w:type="dxa" w:w="100"/>
            </w:tcMar>
          </w:tcPr>
          <w:p>
            <w:r>
              <w:rPr>
                <w:b w:val="false"/>
                <w:bCs w:val="false"/>
                <w:sz w:val="20"/>
                <w:szCs w:val="20"/>
              </w:rPr>
              <w:t xml:space="preserve">Network</w:t>
            </w:r>
          </w:p>
        </w:tc>
        <w:tc>
          <w:tcPr>
            <w:tcW w:type="dxa" w:w="7700"/>
            <w:shd w:fill="F2F2F2" w:val="clear"/>
            <w:tcMar>
              <w:top w:type="dxa" w:w="60"/>
              <w:left w:type="dxa" w:w="100"/>
              <w:bottom w:type="dxa" w:w="60"/>
              <w:right w:type="dxa" w:w="100"/>
            </w:tcMar>
          </w:tcPr>
          <w:p>
            <w:r>
              <w:rPr>
                <w:b w:val="false"/>
                <w:bCs w:val="false"/>
                <w:sz w:val="20"/>
                <w:szCs w:val="20"/>
              </w:rPr>
              <w:t xml:space="preserve">Micro-segmentation via NSGs/ASGs; Private Endpoints by default; Azure Firewall egress control with UDRs; no implicit trust between segments</w:t>
            </w:r>
          </w:p>
        </w:tc>
      </w:tr>
    </w:tbl>
    <w:p>
      <w:pPr>
        <w:spacing w:before="160"/>
      </w:pPr>
    </w:p>
    <w:p>
      <w:pPr>
        <w:pStyle w:val="Heading2"/>
        <w:spacing w:after="120" w:before="280"/>
      </w:pPr>
      <w:r>
        <w:rPr>
          <w:color w:val="2E74B5"/>
        </w:rPr>
        <w:t xml:space="preserve">3.6 Defence in Depth</w:t>
      </w:r>
    </w:p>
    <w:p>
      <w:pPr>
        <w:spacing w:after="120"/>
      </w:pPr>
      <w:r>
        <w:t xml:space="preserve">No single control is trusted to hold. Controls are layered so a failure at one layer is caught at the next: perimeter (DDoS, Firewall, WAF) → network (NSG, segmentation, Private Endpoints) → compute (patching, EDR, hardening) → application (secure SDLC, secrets management, API security) → data (encryption, access controls, backup) → identity wrapped around everything (the modern perimeter), with logging and detection spanning all layers.</w:t>
      </w:r>
    </w:p>
    <w:p>
      <w:r>
        <w:br w:type="page"/>
      </w:r>
    </w:p>
    <w:p>
      <w:pPr>
        <w:pStyle w:val="Heading1"/>
        <w:spacing w:after="160" w:before="360"/>
      </w:pPr>
      <w:r>
        <w:rPr>
          <w:color w:val="1F3864"/>
        </w:rPr>
        <w:t xml:space="preserve">4. Security Domains: Gold Standard and Baseline</w:t>
      </w:r>
    </w:p>
    <w:p>
      <w:pPr>
        <w:spacing w:after="120"/>
      </w:pPr>
      <w:r>
        <w:t xml:space="preserve">Each domain below states the standard (aspirational), the baseline we hold today, and known limitations that must be captured in the Exceptions Register (Section 5). This is the section teams reference when asked “what is our stance on X?” – NSGs, TLS, logging, patching – everything security-related in the cloud lives here.</w:t>
      </w:r>
    </w:p>
    <w:p>
      <w:pPr>
        <w:pStyle w:val="Heading2"/>
        <w:spacing w:after="120" w:before="280"/>
      </w:pPr>
      <w:r>
        <w:rPr>
          <w:color w:val="2E74B5"/>
        </w:rPr>
        <w:t xml:space="preserve">4.1 Identity and Privileged Access (MCSB IM / PA)</w:t>
      </w:r>
    </w:p>
    <w:p>
      <w:pPr>
        <w:spacing w:after="120"/>
      </w:pPr>
      <w:r>
        <w:rPr>
          <w:b/>
          <w:bCs/>
        </w:rPr>
        <w:t xml:space="preserve">Gold standard (North Star): </w:t>
      </w:r>
    </w:p>
    <w:p>
      <w:pPr>
        <w:pStyle w:val="ListParagraph"/>
        <w:numPr>
          <w:ilvl w:val="0"/>
          <w:numId w:val="2"/>
        </w:numPr>
        <w:spacing w:after="60"/>
      </w:pPr>
      <w:r>
        <w:t xml:space="preserve">Entra ID is the single identity plane; MFA phishing-resistant for all users, enforced by Conditional Access.</w:t>
      </w:r>
    </w:p>
    <w:p>
      <w:pPr>
        <w:pStyle w:val="ListParagraph"/>
        <w:numPr>
          <w:ilvl w:val="0"/>
          <w:numId w:val="2"/>
        </w:numPr>
        <w:spacing w:after="60"/>
      </w:pPr>
      <w:r>
        <w:t xml:space="preserve">Privileged roles assigned just-in-time via PIM with approval and time-bound activation; zero standing Owner/Contributor on production subscriptions.</w:t>
      </w:r>
    </w:p>
    <w:p>
      <w:pPr>
        <w:pStyle w:val="ListParagraph"/>
        <w:numPr>
          <w:ilvl w:val="0"/>
          <w:numId w:val="2"/>
        </w:numPr>
        <w:spacing w:after="60"/>
      </w:pPr>
      <w:r>
        <w:t xml:space="preserve">Workload identities use Managed Identity everywhere; no secrets or connection strings with embedded credentials.</w:t>
      </w:r>
    </w:p>
    <w:p>
      <w:pPr>
        <w:pStyle w:val="ListParagraph"/>
        <w:numPr>
          <w:ilvl w:val="0"/>
          <w:numId w:val="2"/>
        </w:numPr>
        <w:spacing w:after="60"/>
      </w:pPr>
      <w:r>
        <w:t xml:space="preserve">SQL database high-impact roles (db_owner, securityadmin) restricted to a minimal, fixed set of principals; quarterly access reviews with sign-off.</w:t>
      </w:r>
    </w:p>
    <w:p>
      <w:pPr>
        <w:spacing w:after="120"/>
      </w:pPr>
      <w:r>
        <w:rPr>
          <w:b/>
          <w:bCs/>
        </w:rPr>
        <w:t xml:space="preserve">Minimum baseline (must hold today): </w:t>
      </w:r>
    </w:p>
    <w:p>
      <w:pPr>
        <w:pStyle w:val="ListParagraph"/>
        <w:numPr>
          <w:ilvl w:val="0"/>
          <w:numId w:val="2"/>
        </w:numPr>
        <w:spacing w:after="60"/>
      </w:pPr>
      <w:r>
        <w:t xml:space="preserve">MFA for all interactive users; break-glass accounts documented and monitored.</w:t>
      </w:r>
    </w:p>
    <w:p>
      <w:pPr>
        <w:pStyle w:val="ListParagraph"/>
        <w:numPr>
          <w:ilvl w:val="0"/>
          <w:numId w:val="2"/>
        </w:numPr>
        <w:spacing w:after="60"/>
      </w:pPr>
      <w:r>
        <w:t xml:space="preserve">RBAC changes on privileged roles alerted to the security channel (Teams) within minutes.</w:t>
      </w:r>
    </w:p>
    <w:p>
      <w:pPr>
        <w:pStyle w:val="ListParagraph"/>
        <w:numPr>
          <w:ilvl w:val="0"/>
          <w:numId w:val="2"/>
        </w:numPr>
        <w:spacing w:after="60"/>
      </w:pPr>
      <w:r>
        <w:t xml:space="preserve">Quarterly RBAC access review executed and evidenced.</w:t>
      </w:r>
    </w:p>
    <w:p>
      <w:pPr>
        <w:spacing w:after="120"/>
      </w:pPr>
      <w:r>
        <w:rPr>
          <w:b/>
          <w:bCs/>
        </w:rPr>
        <w:t xml:space="preserve">Known limitations / candidate exceptions: </w:t>
      </w:r>
    </w:p>
    <w:p>
      <w:pPr>
        <w:pStyle w:val="ListParagraph"/>
        <w:numPr>
          <w:ilvl w:val="0"/>
          <w:numId w:val="2"/>
        </w:numPr>
        <w:spacing w:after="60"/>
      </w:pPr>
      <w:r>
        <w:t xml:space="preserve">CSPM currently reports 153+ resources where SQL high-impact database role membership exceeds the minimal set, and 307 databases where the database owner is not as expected – remediation tracked in Section 7.</w:t>
      </w:r>
    </w:p>
    <w:p>
      <w:pPr>
        <w:pStyle w:val="Heading2"/>
        <w:spacing w:after="120" w:before="280"/>
      </w:pPr>
      <w:r>
        <w:rPr>
          <w:color w:val="2E74B5"/>
        </w:rPr>
        <w:t xml:space="preserve">4.2 Network Security (MCSB NS)</w:t>
      </w:r>
    </w:p>
    <w:p>
      <w:pPr>
        <w:spacing w:after="120"/>
      </w:pPr>
      <w:r>
        <w:rPr>
          <w:b/>
          <w:bCs/>
        </w:rPr>
        <w:t xml:space="preserve">Gold standard (North Star): </w:t>
      </w:r>
    </w:p>
    <w:p>
      <w:pPr>
        <w:pStyle w:val="ListParagraph"/>
        <w:numPr>
          <w:ilvl w:val="0"/>
          <w:numId w:val="2"/>
        </w:numPr>
        <w:spacing w:after="60"/>
      </w:pPr>
      <w:r>
        <w:t xml:space="preserve">Default-deny NSG posture: explicitly documented allow rules only; the framework records what we block and what we allow, per environment.</w:t>
      </w:r>
    </w:p>
    <w:p>
      <w:pPr>
        <w:pStyle w:val="ListParagraph"/>
        <w:numPr>
          <w:ilvl w:val="0"/>
          <w:numId w:val="2"/>
        </w:numPr>
        <w:spacing w:after="60"/>
      </w:pPr>
      <w:r>
        <w:t xml:space="preserve">No public network access on PaaS data services (SQL, Storage, Key Vault); Private Endpoints as the standard connectivity pattern.</w:t>
      </w:r>
    </w:p>
    <w:p>
      <w:pPr>
        <w:pStyle w:val="ListParagraph"/>
        <w:numPr>
          <w:ilvl w:val="0"/>
          <w:numId w:val="2"/>
        </w:numPr>
        <w:spacing w:after="60"/>
      </w:pPr>
      <w:r>
        <w:t xml:space="preserve">All egress routed through Azure Firewall via UDRs, with FQDN allow-listing; unsanctioned registries (e.g. Docker Hub) blocked.</w:t>
      </w:r>
    </w:p>
    <w:p>
      <w:pPr>
        <w:pStyle w:val="ListParagraph"/>
        <w:numPr>
          <w:ilvl w:val="0"/>
          <w:numId w:val="2"/>
        </w:numPr>
        <w:spacing w:after="60"/>
      </w:pPr>
      <w:r>
        <w:t xml:space="preserve">Access to the PHI enclave only via the sanctioned front door (Citrix), with a controlled, auditable data-movement channel.</w:t>
      </w:r>
    </w:p>
    <w:p>
      <w:pPr>
        <w:spacing w:after="120"/>
      </w:pPr>
      <w:r>
        <w:rPr>
          <w:b/>
          <w:bCs/>
        </w:rPr>
        <w:t xml:space="preserve">Minimum baseline (must hold today): </w:t>
      </w:r>
    </w:p>
    <w:p>
      <w:pPr>
        <w:pStyle w:val="ListParagraph"/>
        <w:numPr>
          <w:ilvl w:val="0"/>
          <w:numId w:val="2"/>
        </w:numPr>
        <w:spacing w:after="60"/>
      </w:pPr>
      <w:r>
        <w:t xml:space="preserve">NSGs on every subnet; internet-exposed management ports (RDP/SSH) prohibited.</w:t>
      </w:r>
    </w:p>
    <w:p>
      <w:pPr>
        <w:pStyle w:val="ListParagraph"/>
        <w:numPr>
          <w:ilvl w:val="0"/>
          <w:numId w:val="2"/>
        </w:numPr>
        <w:spacing w:after="60"/>
      </w:pPr>
      <w:r>
        <w:t xml:space="preserve">Public network access disabled on production Azure SQL unless an approved exception exists.</w:t>
      </w:r>
    </w:p>
    <w:p>
      <w:pPr>
        <w:pStyle w:val="ListParagraph"/>
        <w:numPr>
          <w:ilvl w:val="0"/>
          <w:numId w:val="2"/>
        </w:numPr>
        <w:spacing w:after="60"/>
      </w:pPr>
      <w:r>
        <w:t xml:space="preserve">Firewall rule changes peer-reviewed and change-controlled.</w:t>
      </w:r>
    </w:p>
    <w:p>
      <w:pPr>
        <w:spacing w:after="120"/>
      </w:pPr>
      <w:r>
        <w:rPr>
          <w:b/>
          <w:bCs/>
        </w:rPr>
        <w:t xml:space="preserve">Known limitations / candidate exceptions: </w:t>
      </w:r>
    </w:p>
    <w:p>
      <w:pPr>
        <w:pStyle w:val="ListParagraph"/>
        <w:numPr>
          <w:ilvl w:val="0"/>
          <w:numId w:val="2"/>
        </w:numPr>
        <w:spacing w:after="60"/>
      </w:pPr>
      <w:r>
        <w:t xml:space="preserve">31 resources currently allow public network access on Azure SQL Database – each becomes either a remediation or a documented exception.</w:t>
      </w:r>
    </w:p>
    <w:p>
      <w:pPr>
        <w:pStyle w:val="Heading2"/>
        <w:spacing w:after="120" w:before="280"/>
      </w:pPr>
      <w:r>
        <w:rPr>
          <w:color w:val="2E74B5"/>
        </w:rPr>
        <w:t xml:space="preserve">4.3 Data Protection and Encryption (MCSB DP)</w:t>
      </w:r>
    </w:p>
    <w:p>
      <w:pPr>
        <w:spacing w:after="120"/>
      </w:pPr>
      <w:r>
        <w:rPr>
          <w:b/>
          <w:bCs/>
        </w:rPr>
        <w:t xml:space="preserve">Gold standard (North Star): </w:t>
      </w:r>
    </w:p>
    <w:p>
      <w:pPr>
        <w:pStyle w:val="ListParagraph"/>
        <w:numPr>
          <w:ilvl w:val="0"/>
          <w:numId w:val="2"/>
        </w:numPr>
        <w:spacing w:after="60"/>
      </w:pPr>
      <w:r>
        <w:t xml:space="preserve">TLS 1.3 (or the highest version the platform supports) as the encryption-in-transit standard for all services.</w:t>
      </w:r>
    </w:p>
    <w:p>
      <w:pPr>
        <w:pStyle w:val="ListParagraph"/>
        <w:numPr>
          <w:ilvl w:val="0"/>
          <w:numId w:val="2"/>
        </w:numPr>
        <w:spacing w:after="60"/>
      </w:pPr>
      <w:r>
        <w:t xml:space="preserve">TDS traffic to SQL Servers protected through TLS with Force Encryption enabled; insecure database connection strings eliminated.</w:t>
      </w:r>
    </w:p>
    <w:p>
      <w:pPr>
        <w:pStyle w:val="ListParagraph"/>
        <w:numPr>
          <w:ilvl w:val="0"/>
          <w:numId w:val="2"/>
        </w:numPr>
        <w:spacing w:after="60"/>
      </w:pPr>
      <w:r>
        <w:t xml:space="preserve">Encryption at rest on all data services; customer-managed keys in Key Vault for sensitive/regulated data classes.</w:t>
      </w:r>
    </w:p>
    <w:p>
      <w:pPr>
        <w:pStyle w:val="ListParagraph"/>
        <w:numPr>
          <w:ilvl w:val="0"/>
          <w:numId w:val="2"/>
        </w:numPr>
        <w:spacing w:after="60"/>
      </w:pPr>
      <w:r>
        <w:t xml:space="preserve">Storage SAS tokens short-lived, scoped, HTTPS-only; preference for Entra ID (RBAC) over SAS wherever supported.</w:t>
      </w:r>
    </w:p>
    <w:p>
      <w:pPr>
        <w:spacing w:after="120"/>
      </w:pPr>
      <w:r>
        <w:rPr>
          <w:b/>
          <w:bCs/>
        </w:rPr>
        <w:t xml:space="preserve">Minimum baseline (must hold today): </w:t>
      </w:r>
    </w:p>
    <w:p>
      <w:pPr>
        <w:pStyle w:val="ListParagraph"/>
        <w:numPr>
          <w:ilvl w:val="0"/>
          <w:numId w:val="2"/>
        </w:numPr>
        <w:spacing w:after="60"/>
      </w:pPr>
      <w:r>
        <w:t xml:space="preserve">TLS 1.2 as the enforced minimum everywhere; anything below 1.2 prohibited outright.</w:t>
      </w:r>
    </w:p>
    <w:p>
      <w:pPr>
        <w:pStyle w:val="ListParagraph"/>
        <w:numPr>
          <w:ilvl w:val="0"/>
          <w:numId w:val="2"/>
        </w:numPr>
        <w:spacing w:after="60"/>
      </w:pPr>
      <w:r>
        <w:t xml:space="preserve">No secrets, keys or connection strings in code or pipeline variables – Key Vault only.</w:t>
      </w:r>
    </w:p>
    <w:p>
      <w:pPr>
        <w:pStyle w:val="ListParagraph"/>
        <w:numPr>
          <w:ilvl w:val="0"/>
          <w:numId w:val="2"/>
        </w:numPr>
        <w:spacing w:after="60"/>
      </w:pPr>
      <w:r>
        <w:t xml:space="preserve">Windows servers configured to use secure communication protocols (no SSL3/TLS1.0/1.1 ciphers).</w:t>
      </w:r>
    </w:p>
    <w:p>
      <w:pPr>
        <w:spacing w:after="120"/>
      </w:pPr>
      <w:r>
        <w:rPr>
          <w:b/>
          <w:bCs/>
        </w:rPr>
        <w:t xml:space="preserve">Known limitations / candidate exceptions: </w:t>
      </w:r>
    </w:p>
    <w:p>
      <w:pPr>
        <w:pStyle w:val="ListParagraph"/>
        <w:numPr>
          <w:ilvl w:val="0"/>
          <w:numId w:val="2"/>
        </w:numPr>
        <w:spacing w:after="60"/>
      </w:pPr>
      <w:r>
        <w:t xml:space="preserve">Example exception pattern: “Our standard is TLS 1.3, except the travel business front-end service which runs TLS 1.2 due to a technology-stack limitation” – documented with owner and review date.</w:t>
      </w:r>
    </w:p>
    <w:p>
      <w:pPr>
        <w:pStyle w:val="ListParagraph"/>
        <w:numPr>
          <w:ilvl w:val="0"/>
          <w:numId w:val="2"/>
        </w:numPr>
        <w:spacing w:after="60"/>
      </w:pPr>
      <w:r>
        <w:t xml:space="preserve">Current findings: 126 insecure Azure database connection strings, 229 insecure storage SAS tokens, 201 servers on insecure communication protocols, 186 SQL Servers without Force Encryption, 70 SQL Servers with unprotected TDS.</w:t>
      </w:r>
    </w:p>
    <w:p>
      <w:pPr>
        <w:pStyle w:val="Heading2"/>
        <w:spacing w:after="120" w:before="280"/>
      </w:pPr>
      <w:r>
        <w:rPr>
          <w:color w:val="2E74B5"/>
        </w:rPr>
        <w:t xml:space="preserve">4.4 Compute, Patching and Endpoint (MCSB ES / PV)</w:t>
      </w:r>
    </w:p>
    <w:p>
      <w:pPr>
        <w:spacing w:after="120"/>
      </w:pPr>
      <w:r>
        <w:rPr>
          <w:b/>
          <w:bCs/>
        </w:rPr>
        <w:t xml:space="preserve">Gold standard (North Star): </w:t>
      </w:r>
    </w:p>
    <w:p>
      <w:pPr>
        <w:pStyle w:val="ListParagraph"/>
        <w:numPr>
          <w:ilvl w:val="0"/>
          <w:numId w:val="2"/>
        </w:numPr>
        <w:spacing w:after="60"/>
      </w:pPr>
      <w:r>
        <w:t xml:space="preserve">All VMs enrolled in Azure Update Manager with defined patch rings (Dev → QA → Prod), automated scheduling, and drain/re-enable logic for build agents.</w:t>
      </w:r>
    </w:p>
    <w:p>
      <w:pPr>
        <w:pStyle w:val="ListParagraph"/>
        <w:numPr>
          <w:ilvl w:val="0"/>
          <w:numId w:val="2"/>
        </w:numPr>
        <w:spacing w:after="60"/>
      </w:pPr>
      <w:r>
        <w:t xml:space="preserve">SQL Server instances kept on latest cumulative updates; features that may affect security disabled unless justified.</w:t>
      </w:r>
    </w:p>
    <w:p>
      <w:pPr>
        <w:pStyle w:val="ListParagraph"/>
        <w:numPr>
          <w:ilvl w:val="0"/>
          <w:numId w:val="2"/>
        </w:numPr>
        <w:spacing w:after="60"/>
      </w:pPr>
      <w:r>
        <w:t xml:space="preserve">Defender for Servers on all machines; secrets findings and vulnerability findings driven to zero-High steady state.</w:t>
      </w:r>
    </w:p>
    <w:p>
      <w:pPr>
        <w:spacing w:after="120"/>
      </w:pPr>
      <w:r>
        <w:rPr>
          <w:b/>
          <w:bCs/>
        </w:rPr>
        <w:t xml:space="preserve">Minimum baseline (must hold today): </w:t>
      </w:r>
    </w:p>
    <w:p>
      <w:pPr>
        <w:pStyle w:val="ListParagraph"/>
        <w:numPr>
          <w:ilvl w:val="0"/>
          <w:numId w:val="2"/>
        </w:numPr>
        <w:spacing w:after="60"/>
      </w:pPr>
      <w:r>
        <w:t xml:space="preserve">Critical/security patches applied within 14 days (High) / 30 days (Medium) of release.</w:t>
      </w:r>
    </w:p>
    <w:p>
      <w:pPr>
        <w:pStyle w:val="ListParagraph"/>
        <w:numPr>
          <w:ilvl w:val="0"/>
          <w:numId w:val="2"/>
        </w:numPr>
        <w:spacing w:after="60"/>
      </w:pPr>
      <w:r>
        <w:t xml:space="preserve">System updates status monitored via Azure Update Manager and reported monthly.</w:t>
      </w:r>
    </w:p>
    <w:p>
      <w:pPr>
        <w:spacing w:after="120"/>
      </w:pPr>
      <w:r>
        <w:rPr>
          <w:b/>
          <w:bCs/>
        </w:rPr>
        <w:t xml:space="preserve">Known limitations / candidate exceptions: </w:t>
      </w:r>
    </w:p>
    <w:p>
      <w:pPr>
        <w:pStyle w:val="ListParagraph"/>
        <w:numPr>
          <w:ilvl w:val="0"/>
          <w:numId w:val="2"/>
        </w:numPr>
        <w:spacing w:after="60"/>
      </w:pPr>
      <w:r>
        <w:t xml:space="preserve">Current findings: 212 machines missing system updates, 149 SQL Servers missing latest updates, 249 machines with unresolved secrets findings, 179 machines with unresolved SQL vulnerability findings, 260 SQL Servers with risky features enabled.</w:t>
      </w:r>
    </w:p>
    <w:p>
      <w:pPr>
        <w:pStyle w:val="Heading2"/>
        <w:spacing w:after="120" w:before="280"/>
      </w:pPr>
      <w:r>
        <w:rPr>
          <w:color w:val="2E74B5"/>
        </w:rPr>
        <w:t xml:space="preserve">4.5 Containers and AKS (MCSB PV / DS)</w:t>
      </w:r>
    </w:p>
    <w:p>
      <w:pPr>
        <w:spacing w:after="120"/>
      </w:pPr>
      <w:r>
        <w:rPr>
          <w:b/>
          <w:bCs/>
        </w:rPr>
        <w:t xml:space="preserve">Gold standard (North Star): </w:t>
      </w:r>
    </w:p>
    <w:p>
      <w:pPr>
        <w:pStyle w:val="ListParagraph"/>
        <w:numPr>
          <w:ilvl w:val="0"/>
          <w:numId w:val="2"/>
        </w:numPr>
        <w:spacing w:after="60"/>
      </w:pPr>
      <w:r>
        <w:t xml:space="preserve">AKS clusters on a supported (N or N-1) Kubernetes version; node pools upgraded on a defined ring cadence.</w:t>
      </w:r>
    </w:p>
    <w:p>
      <w:pPr>
        <w:pStyle w:val="ListParagraph"/>
        <w:numPr>
          <w:ilvl w:val="0"/>
          <w:numId w:val="2"/>
        </w:numPr>
        <w:spacing w:after="60"/>
      </w:pPr>
      <w:r>
        <w:t xml:space="preserve">Container images pulled only from trusted registries (our ACR); base images rebuilt on a schedule so CVEs are fixed at the root cause rather than per-finding.</w:t>
      </w:r>
    </w:p>
    <w:p>
      <w:pPr>
        <w:pStyle w:val="ListParagraph"/>
        <w:numPr>
          <w:ilvl w:val="0"/>
          <w:numId w:val="2"/>
        </w:numPr>
        <w:spacing w:after="60"/>
      </w:pPr>
      <w:r>
        <w:t xml:space="preserve">Pods do not automount API credentials unless the workload requires it; workload identity used instead.</w:t>
      </w:r>
    </w:p>
    <w:p>
      <w:pPr>
        <w:pStyle w:val="ListParagraph"/>
        <w:numPr>
          <w:ilvl w:val="0"/>
          <w:numId w:val="2"/>
        </w:numPr>
        <w:spacing w:after="60"/>
      </w:pPr>
      <w:r>
        <w:t xml:space="preserve">Image and node CVEs triaged by root cause, remediated via ACR rebuilds, AKS node upgrades and Renovate PRs (per the CVE triage strategy).</w:t>
      </w:r>
    </w:p>
    <w:p>
      <w:pPr>
        <w:spacing w:after="120"/>
      </w:pPr>
      <w:r>
        <w:rPr>
          <w:b/>
          <w:bCs/>
        </w:rPr>
        <w:t xml:space="preserve">Minimum baseline (must hold today): </w:t>
      </w:r>
    </w:p>
    <w:p>
      <w:pPr>
        <w:pStyle w:val="ListParagraph"/>
        <w:numPr>
          <w:ilvl w:val="0"/>
          <w:numId w:val="2"/>
        </w:numPr>
        <w:spacing w:after="60"/>
      </w:pPr>
      <w:r>
        <w:t xml:space="preserve">No cluster or node pool on an out-of-support Kubernetes version.</w:t>
      </w:r>
    </w:p>
    <w:p>
      <w:pPr>
        <w:pStyle w:val="ListParagraph"/>
        <w:numPr>
          <w:ilvl w:val="0"/>
          <w:numId w:val="2"/>
        </w:numPr>
        <w:spacing w:after="60"/>
      </w:pPr>
      <w:r>
        <w:t xml:space="preserve">Admission control (Azure Policy for AKS / Gatekeeper) enforcing the trusted-registry rule in audit mode as a minimum, moving to deny.</w:t>
      </w:r>
    </w:p>
    <w:p>
      <w:pPr>
        <w:spacing w:after="120"/>
      </w:pPr>
      <w:r>
        <w:rPr>
          <w:b/>
          <w:bCs/>
        </w:rPr>
        <w:t xml:space="preserve">Known limitations / candidate exceptions: </w:t>
      </w:r>
    </w:p>
    <w:p>
      <w:pPr>
        <w:pStyle w:val="ListParagraph"/>
        <w:numPr>
          <w:ilvl w:val="0"/>
          <w:numId w:val="2"/>
        </w:numPr>
        <w:spacing w:after="60"/>
      </w:pPr>
      <w:r>
        <w:t xml:space="preserve">Current findings: 2,040 workloads automounting API credentials, 1,121 images from untrusted registries, 382 workloads with vulnerability findings, 220 resources on outdated AKS versions, 65 node pools requiring Kubernetes node upgrades.</w:t>
      </w:r>
    </w:p>
    <w:p>
      <w:pPr>
        <w:pStyle w:val="Heading2"/>
        <w:spacing w:after="120" w:before="280"/>
      </w:pPr>
      <w:r>
        <w:rPr>
          <w:color w:val="2E74B5"/>
        </w:rPr>
        <w:t xml:space="preserve">4.6 Logging, Threat Detection and Incident Response (MCSB LT / IR)</w:t>
      </w:r>
    </w:p>
    <w:p>
      <w:pPr>
        <w:spacing w:after="120"/>
      </w:pPr>
      <w:r>
        <w:rPr>
          <w:b/>
          <w:bCs/>
        </w:rPr>
        <w:t xml:space="preserve">Gold standard (North Star): </w:t>
      </w:r>
    </w:p>
    <w:p>
      <w:pPr>
        <w:pStyle w:val="ListParagraph"/>
        <w:numPr>
          <w:ilvl w:val="0"/>
          <w:numId w:val="2"/>
        </w:numPr>
        <w:spacing w:after="60"/>
      </w:pPr>
      <w:r>
        <w:t xml:space="preserve">A documented logging standard: exactly which security events we log per service (Entra ID sign-ins and audit, activity logs, NSG flow/Firewall logs, AKS audit, SQL auditing, Key Vault), retention periods, and where they land (Sentinel workspace).</w:t>
      </w:r>
    </w:p>
    <w:p>
      <w:pPr>
        <w:pStyle w:val="ListParagraph"/>
        <w:numPr>
          <w:ilvl w:val="0"/>
          <w:numId w:val="2"/>
        </w:numPr>
        <w:spacing w:after="60"/>
      </w:pPr>
      <w:r>
        <w:t xml:space="preserve">Sentinel analytics rules covering identity abuse, privilege escalation, impossible travel, mass data egress and MCP/agent tooling misuse; SOC monitoring with defined triage SLAs.</w:t>
      </w:r>
    </w:p>
    <w:p>
      <w:pPr>
        <w:pStyle w:val="ListParagraph"/>
        <w:numPr>
          <w:ilvl w:val="0"/>
          <w:numId w:val="2"/>
        </w:numPr>
        <w:spacing w:after="60"/>
      </w:pPr>
      <w:r>
        <w:t xml:space="preserve">Incident response runbooks tested at least annually; Defender for Cloud alerts integrated into the incident pipeline.</w:t>
      </w:r>
    </w:p>
    <w:p>
      <w:pPr>
        <w:spacing w:after="120"/>
      </w:pPr>
      <w:r>
        <w:rPr>
          <w:b/>
          <w:bCs/>
        </w:rPr>
        <w:t xml:space="preserve">Minimum baseline (must hold today): </w:t>
      </w:r>
    </w:p>
    <w:p>
      <w:pPr>
        <w:pStyle w:val="ListParagraph"/>
        <w:numPr>
          <w:ilvl w:val="0"/>
          <w:numId w:val="2"/>
        </w:numPr>
        <w:spacing w:after="60"/>
      </w:pPr>
      <w:r>
        <w:t xml:space="preserve">Activity logs and Entra ID logs flowing to Sentinel for all subscriptions.</w:t>
      </w:r>
    </w:p>
    <w:p>
      <w:pPr>
        <w:pStyle w:val="ListParagraph"/>
        <w:numPr>
          <w:ilvl w:val="0"/>
          <w:numId w:val="2"/>
        </w:numPr>
        <w:spacing w:after="60"/>
      </w:pPr>
      <w:r>
        <w:t xml:space="preserve">Open Sentinel incidents reviewed on a defined cadence with ageing reported in the monthly posture report.</w:t>
      </w:r>
    </w:p>
    <w:p>
      <w:pPr>
        <w:pStyle w:val="ListParagraph"/>
        <w:numPr>
          <w:ilvl w:val="0"/>
          <w:numId w:val="2"/>
        </w:numPr>
        <w:spacing w:after="60"/>
      </w:pPr>
      <w:r>
        <w:t xml:space="preserve">RBAC/Entra role-change alerts routed to Teams (already implemented).</w:t>
      </w:r>
    </w:p>
    <w:p>
      <w:pPr>
        <w:spacing w:after="120"/>
      </w:pPr>
      <w:r>
        <w:rPr>
          <w:b/>
          <w:bCs/>
        </w:rPr>
        <w:t xml:space="preserve">Known limitations / candidate exceptions: </w:t>
      </w:r>
    </w:p>
    <w:p>
      <w:pPr>
        <w:pStyle w:val="ListParagraph"/>
        <w:numPr>
          <w:ilvl w:val="0"/>
          <w:numId w:val="2"/>
        </w:numPr>
        <w:spacing w:after="60"/>
      </w:pPr>
      <w:r>
        <w:t xml:space="preserve">The consolidated logging matrix (what we log, from where, retention) is an immediate deliverable – input to be gathered from the application team's existing logging and consolidated here.</w:t>
      </w:r>
    </w:p>
    <w:p>
      <w:pPr>
        <w:pStyle w:val="Heading2"/>
        <w:spacing w:after="120" w:before="280"/>
      </w:pPr>
      <w:r>
        <w:rPr>
          <w:color w:val="2E74B5"/>
        </w:rPr>
        <w:t xml:space="preserve">4.7 Posture and Vulnerability Management (MCSB PV)</w:t>
      </w:r>
    </w:p>
    <w:p>
      <w:pPr>
        <w:spacing w:after="120"/>
      </w:pPr>
      <w:r>
        <w:rPr>
          <w:b/>
          <w:bCs/>
        </w:rPr>
        <w:t xml:space="preserve">Gold standard (North Star): </w:t>
      </w:r>
    </w:p>
    <w:p>
      <w:pPr>
        <w:pStyle w:val="ListParagraph"/>
        <w:numPr>
          <w:ilvl w:val="0"/>
          <w:numId w:val="2"/>
        </w:numPr>
        <w:spacing w:after="60"/>
      </w:pPr>
      <w:r>
        <w:t xml:space="preserve">Continuous CSPM via Defender for Cloud (MCSB v2 initiative enabled) and Wiz; secure score trending upward quarter-on-quarter with an agreed target.</w:t>
      </w:r>
    </w:p>
    <w:p>
      <w:pPr>
        <w:pStyle w:val="ListParagraph"/>
        <w:numPr>
          <w:ilvl w:val="0"/>
          <w:numId w:val="2"/>
        </w:numPr>
        <w:spacing w:after="60"/>
      </w:pPr>
      <w:r>
        <w:t xml:space="preserve">Findings collapsed to root causes and remediated in rings; no High finding older than 30 days without an exception record.</w:t>
      </w:r>
    </w:p>
    <w:p>
      <w:pPr>
        <w:pStyle w:val="ListParagraph"/>
        <w:numPr>
          <w:ilvl w:val="0"/>
          <w:numId w:val="2"/>
        </w:numPr>
        <w:spacing w:after="60"/>
      </w:pPr>
      <w:r>
        <w:t xml:space="preserve">Monthly security posture report (automated, from live Defender/Sentinel/Resource Graph data) reviewed with leadership.</w:t>
      </w:r>
    </w:p>
    <w:p>
      <w:pPr>
        <w:spacing w:after="120"/>
      </w:pPr>
      <w:r>
        <w:rPr>
          <w:b/>
          <w:bCs/>
        </w:rPr>
        <w:t xml:space="preserve">Minimum baseline (must hold today): </w:t>
      </w:r>
    </w:p>
    <w:p>
      <w:pPr>
        <w:pStyle w:val="ListParagraph"/>
        <w:numPr>
          <w:ilvl w:val="0"/>
          <w:numId w:val="2"/>
        </w:numPr>
        <w:spacing w:after="60"/>
      </w:pPr>
      <w:r>
        <w:t xml:space="preserve">MCSB assessment enabled on all subscriptions; regulatory compliance dashboard tracking ISO 27001 and SOC 2 initiatives.</w:t>
      </w:r>
    </w:p>
    <w:p>
      <w:pPr>
        <w:pStyle w:val="ListParagraph"/>
        <w:numPr>
          <w:ilvl w:val="0"/>
          <w:numId w:val="2"/>
        </w:numPr>
        <w:spacing w:after="60"/>
      </w:pPr>
      <w:r>
        <w:t xml:space="preserve">Vulnerability scanning on VMs, containers and SQL; findings fed into the triage process.</w:t>
      </w:r>
    </w:p>
    <w:p>
      <w:pPr>
        <w:pStyle w:val="Heading2"/>
        <w:spacing w:after="120" w:before="280"/>
      </w:pPr>
      <w:r>
        <w:rPr>
          <w:color w:val="2E74B5"/>
        </w:rPr>
        <w:t xml:space="preserve">4.8 DevOps and Supply Chain Security (MCSB DS)</w:t>
      </w:r>
    </w:p>
    <w:p>
      <w:pPr>
        <w:spacing w:after="120"/>
      </w:pPr>
      <w:r>
        <w:rPr>
          <w:b/>
          <w:bCs/>
        </w:rPr>
        <w:t xml:space="preserve">Gold standard (North Star): </w:t>
      </w:r>
    </w:p>
    <w:p>
      <w:pPr>
        <w:pStyle w:val="ListParagraph"/>
        <w:numPr>
          <w:ilvl w:val="0"/>
          <w:numId w:val="2"/>
        </w:numPr>
        <w:spacing w:after="60"/>
      </w:pPr>
      <w:r>
        <w:t xml:space="preserve">CI/CD pipelines use Managed Identity / workload identity federation; no long-lived PATs or service principal secrets.</w:t>
      </w:r>
    </w:p>
    <w:p>
      <w:pPr>
        <w:pStyle w:val="ListParagraph"/>
        <w:numPr>
          <w:ilvl w:val="0"/>
          <w:numId w:val="2"/>
        </w:numPr>
        <w:spacing w:after="60"/>
      </w:pPr>
      <w:r>
        <w:t xml:space="preserve">IaC (Terraform/Bicep) scanned pre-merge; drift detection on production.</w:t>
      </w:r>
    </w:p>
    <w:p>
      <w:pPr>
        <w:pStyle w:val="ListParagraph"/>
        <w:numPr>
          <w:ilvl w:val="0"/>
          <w:numId w:val="2"/>
        </w:numPr>
        <w:spacing w:after="60"/>
      </w:pPr>
      <w:r>
        <w:t xml:space="preserve">Third-party tooling (including MCP servers and agents) runs isolated (Docker), least-privilege (read-only RBAC where possible), and is inventoried.</w:t>
      </w:r>
    </w:p>
    <w:p>
      <w:pPr>
        <w:spacing w:after="120"/>
      </w:pPr>
      <w:r>
        <w:rPr>
          <w:b/>
          <w:bCs/>
        </w:rPr>
        <w:t xml:space="preserve">Minimum baseline (must hold today): </w:t>
      </w:r>
    </w:p>
    <w:p>
      <w:pPr>
        <w:pStyle w:val="ListParagraph"/>
        <w:numPr>
          <w:ilvl w:val="0"/>
          <w:numId w:val="2"/>
        </w:numPr>
        <w:spacing w:after="60"/>
      </w:pPr>
      <w:r>
        <w:t xml:space="preserve">Branch protection and peer review on all production IaC and pipeline changes.</w:t>
      </w:r>
    </w:p>
    <w:p>
      <w:pPr>
        <w:pStyle w:val="ListParagraph"/>
        <w:numPr>
          <w:ilvl w:val="0"/>
          <w:numId w:val="2"/>
        </w:numPr>
        <w:spacing w:after="60"/>
      </w:pPr>
      <w:r>
        <w:t xml:space="preserve">Secrets scanning enabled in repos and pipelines.</w:t>
      </w:r>
    </w:p>
    <w:p>
      <w:pPr>
        <w:pStyle w:val="Heading2"/>
        <w:spacing w:after="120" w:before="280"/>
      </w:pPr>
      <w:r>
        <w:rPr>
          <w:color w:val="2E74B5"/>
        </w:rPr>
        <w:t xml:space="preserve">4.9 Key, Certificate and Secrets Management (MCSB DP / IM)</w:t>
      </w:r>
    </w:p>
    <w:p>
      <w:pPr>
        <w:spacing w:after="120"/>
      </w:pPr>
      <w:r>
        <w:rPr>
          <w:b/>
          <w:bCs/>
        </w:rPr>
        <w:t xml:space="preserve">Gold standard (North Star): </w:t>
      </w:r>
    </w:p>
    <w:p>
      <w:pPr>
        <w:pStyle w:val="ListParagraph"/>
        <w:numPr>
          <w:ilvl w:val="0"/>
          <w:numId w:val="2"/>
        </w:numPr>
        <w:spacing w:after="60"/>
      </w:pPr>
      <w:r>
        <w:t xml:space="preserve">All secrets, keys and certificates in Azure Key Vault (or Managed HSM for regulated key material); soft-delete and purge protection enabled everywhere.</w:t>
      </w:r>
    </w:p>
    <w:p>
      <w:pPr>
        <w:pStyle w:val="ListParagraph"/>
        <w:numPr>
          <w:ilvl w:val="0"/>
          <w:numId w:val="2"/>
        </w:numPr>
        <w:spacing w:after="60"/>
      </w:pPr>
      <w:r>
        <w:t xml:space="preserve">Certificate lifecycle automated: issuance, renewal and rotation without manual handling; expiry alerts at 60/30/7 days.</w:t>
      </w:r>
    </w:p>
    <w:p>
      <w:pPr>
        <w:pStyle w:val="ListParagraph"/>
        <w:numPr>
          <w:ilvl w:val="0"/>
          <w:numId w:val="2"/>
        </w:numPr>
        <w:spacing w:after="60"/>
      </w:pPr>
      <w:r>
        <w:t xml:space="preserve">Key rotation policies defined per data class; customer-managed keys for PHI/regulated data with documented key custodianship.</w:t>
      </w:r>
    </w:p>
    <w:p>
      <w:pPr>
        <w:pStyle w:val="ListParagraph"/>
        <w:numPr>
          <w:ilvl w:val="0"/>
          <w:numId w:val="2"/>
        </w:numPr>
        <w:spacing w:after="60"/>
      </w:pPr>
      <w:r>
        <w:t xml:space="preserve">No human ever sees a production secret: applications retrieve at runtime via Managed Identity; break-glass retrieval is logged and alerted.</w:t>
      </w:r>
    </w:p>
    <w:p>
      <w:pPr>
        <w:spacing w:after="120"/>
      </w:pPr>
      <w:r>
        <w:rPr>
          <w:b/>
          <w:bCs/>
        </w:rPr>
        <w:t xml:space="preserve">Minimum baseline (must hold today): </w:t>
      </w:r>
    </w:p>
    <w:p>
      <w:pPr>
        <w:pStyle w:val="ListParagraph"/>
        <w:numPr>
          <w:ilvl w:val="0"/>
          <w:numId w:val="2"/>
        </w:numPr>
        <w:spacing w:after="60"/>
      </w:pPr>
      <w:r>
        <w:t xml:space="preserve">Key Vault access via RBAC (not access policies) with least privilege; diagnostic logging to Sentinel.</w:t>
      </w:r>
    </w:p>
    <w:p>
      <w:pPr>
        <w:pStyle w:val="ListParagraph"/>
        <w:numPr>
          <w:ilvl w:val="0"/>
          <w:numId w:val="2"/>
        </w:numPr>
        <w:spacing w:after="60"/>
      </w:pPr>
      <w:r>
        <w:t xml:space="preserve">No certificates or keys stored in code, pipelines, VMs or file shares.</w:t>
      </w:r>
    </w:p>
    <w:p>
      <w:pPr>
        <w:pStyle w:val="ListParagraph"/>
        <w:numPr>
          <w:ilvl w:val="0"/>
          <w:numId w:val="2"/>
        </w:numPr>
        <w:spacing w:after="60"/>
      </w:pPr>
      <w:r>
        <w:t xml:space="preserve">Expired or expiring certificates tracked in the monthly posture report.</w:t>
      </w:r>
    </w:p>
    <w:p>
      <w:pPr>
        <w:pStyle w:val="Heading2"/>
        <w:spacing w:after="120" w:before="280"/>
      </w:pPr>
      <w:r>
        <w:rPr>
          <w:color w:val="2E74B5"/>
        </w:rPr>
        <w:t xml:space="preserve">4.10 Asset Management and Governance (MCSB AM)</w:t>
      </w:r>
    </w:p>
    <w:p>
      <w:pPr>
        <w:spacing w:after="120"/>
      </w:pPr>
      <w:r>
        <w:rPr>
          <w:b/>
          <w:bCs/>
        </w:rPr>
        <w:t xml:space="preserve">Gold standard (North Star): </w:t>
      </w:r>
    </w:p>
    <w:p>
      <w:pPr>
        <w:pStyle w:val="ListParagraph"/>
        <w:numPr>
          <w:ilvl w:val="0"/>
          <w:numId w:val="2"/>
        </w:numPr>
        <w:spacing w:after="60"/>
      </w:pPr>
      <w:r>
        <w:t xml:space="preserve">Complete, continuously updated inventory of every Azure resource via Azure Resource Graph; nothing unknown in the estate.</w:t>
      </w:r>
    </w:p>
    <w:p>
      <w:pPr>
        <w:pStyle w:val="ListParagraph"/>
        <w:numPr>
          <w:ilvl w:val="0"/>
          <w:numId w:val="2"/>
        </w:numPr>
        <w:spacing w:after="60"/>
      </w:pPr>
      <w:r>
        <w:t xml:space="preserve">Mandatory tagging standard enforced by Azure Policy: owner, environment, data classification, cost centre, application. Untagged resources auto-flagged.</w:t>
      </w:r>
    </w:p>
    <w:p>
      <w:pPr>
        <w:pStyle w:val="ListParagraph"/>
        <w:numPr>
          <w:ilvl w:val="0"/>
          <w:numId w:val="2"/>
        </w:numPr>
        <w:spacing w:after="60"/>
      </w:pPr>
      <w:r>
        <w:t xml:space="preserve">Management group hierarchy with policy inheritance: platform guardrails (deny public IPs on data services, allowed regions, allowed SKUs) applied at the top, environment-specific policy below.</w:t>
      </w:r>
    </w:p>
    <w:p>
      <w:pPr>
        <w:pStyle w:val="ListParagraph"/>
        <w:numPr>
          <w:ilvl w:val="0"/>
          <w:numId w:val="2"/>
        </w:numPr>
        <w:spacing w:after="60"/>
      </w:pPr>
      <w:r>
        <w:t xml:space="preserve">Decommissioning runbook for every resource type (as proven with the AVD session host teardown) so nothing orphaned remains billing or exposing attack surface.</w:t>
      </w:r>
    </w:p>
    <w:p>
      <w:pPr>
        <w:spacing w:after="120"/>
      </w:pPr>
      <w:r>
        <w:rPr>
          <w:b/>
          <w:bCs/>
        </w:rPr>
        <w:t xml:space="preserve">Minimum baseline (must hold today): </w:t>
      </w:r>
    </w:p>
    <w:p>
      <w:pPr>
        <w:pStyle w:val="ListParagraph"/>
        <w:numPr>
          <w:ilvl w:val="0"/>
          <w:numId w:val="2"/>
        </w:numPr>
        <w:spacing w:after="60"/>
      </w:pPr>
      <w:r>
        <w:t xml:space="preserve">Azure Policy in place for allowed locations, required tags and denied resource types.</w:t>
      </w:r>
    </w:p>
    <w:p>
      <w:pPr>
        <w:pStyle w:val="ListParagraph"/>
        <w:numPr>
          <w:ilvl w:val="0"/>
          <w:numId w:val="2"/>
        </w:numPr>
        <w:spacing w:after="60"/>
      </w:pPr>
      <w:r>
        <w:t xml:space="preserve">Quarterly orphaned-resource sweep (unattached disks, unused public IPs, empty NSGs, stale service principals).</w:t>
      </w:r>
    </w:p>
    <w:p>
      <w:pPr>
        <w:pStyle w:val="Heading2"/>
        <w:spacing w:after="120" w:before="280"/>
      </w:pPr>
      <w:r>
        <w:rPr>
          <w:color w:val="2E74B5"/>
        </w:rPr>
        <w:t xml:space="preserve">4.11 Backup, Recovery and Resilience (MCSB BR)</w:t>
      </w:r>
    </w:p>
    <w:p>
      <w:pPr>
        <w:spacing w:after="120"/>
      </w:pPr>
      <w:r>
        <w:rPr>
          <w:b/>
          <w:bCs/>
        </w:rPr>
        <w:t xml:space="preserve">Gold standard (North Star): </w:t>
      </w:r>
    </w:p>
    <w:p>
      <w:pPr>
        <w:pStyle w:val="ListParagraph"/>
        <w:numPr>
          <w:ilvl w:val="0"/>
          <w:numId w:val="2"/>
        </w:numPr>
        <w:spacing w:after="60"/>
      </w:pPr>
      <w:r>
        <w:t xml:space="preserve">Azure Backup / vaulted backups for all production VMs, SQL and file data with immutability (WORM) enabled so backups survive ransomware and malicious deletion.</w:t>
      </w:r>
    </w:p>
    <w:p>
      <w:pPr>
        <w:pStyle w:val="ListParagraph"/>
        <w:numPr>
          <w:ilvl w:val="0"/>
          <w:numId w:val="2"/>
        </w:numPr>
        <w:spacing w:after="60"/>
      </w:pPr>
      <w:r>
        <w:t xml:space="preserve">Defined RPO/RTO per application tier, documented and tested; annual restore test evidenced for every tier-1 workload.</w:t>
      </w:r>
    </w:p>
    <w:p>
      <w:pPr>
        <w:pStyle w:val="ListParagraph"/>
        <w:numPr>
          <w:ilvl w:val="0"/>
          <w:numId w:val="2"/>
        </w:numPr>
        <w:spacing w:after="60"/>
      </w:pPr>
      <w:r>
        <w:t xml:space="preserve">Cross-region recovery capability for tier-1 workloads (paired-region or ASR); backup access separated from production admin access.</w:t>
      </w:r>
    </w:p>
    <w:p>
      <w:pPr>
        <w:pStyle w:val="ListParagraph"/>
        <w:numPr>
          <w:ilvl w:val="0"/>
          <w:numId w:val="2"/>
        </w:numPr>
        <w:spacing w:after="60"/>
      </w:pPr>
      <w:r>
        <w:t xml:space="preserve">AKS: velero or Azure Backup for AKS covering cluster state and persistent volumes.</w:t>
      </w:r>
    </w:p>
    <w:p>
      <w:pPr>
        <w:spacing w:after="120"/>
      </w:pPr>
      <w:r>
        <w:rPr>
          <w:b/>
          <w:bCs/>
        </w:rPr>
        <w:t xml:space="preserve">Minimum baseline (must hold today): </w:t>
      </w:r>
    </w:p>
    <w:p>
      <w:pPr>
        <w:pStyle w:val="ListParagraph"/>
        <w:numPr>
          <w:ilvl w:val="0"/>
          <w:numId w:val="2"/>
        </w:numPr>
        <w:spacing w:after="60"/>
      </w:pPr>
      <w:r>
        <w:t xml:space="preserve">All production databases and VMs backed up with retention meeting compliance requirements (ISO 27001 / SOC 2 evidence).</w:t>
      </w:r>
    </w:p>
    <w:p>
      <w:pPr>
        <w:pStyle w:val="ListParagraph"/>
        <w:numPr>
          <w:ilvl w:val="0"/>
          <w:numId w:val="2"/>
        </w:numPr>
        <w:spacing w:after="60"/>
      </w:pPr>
      <w:r>
        <w:t xml:space="preserve">Backup job failures alerted and triaged within one business day.</w:t>
      </w:r>
    </w:p>
    <w:p>
      <w:pPr>
        <w:pStyle w:val="ListParagraph"/>
        <w:numPr>
          <w:ilvl w:val="0"/>
          <w:numId w:val="2"/>
        </w:numPr>
        <w:spacing w:after="60"/>
      </w:pPr>
      <w:r>
        <w:t xml:space="preserve">At least one successful restore test per year per critical system.</w:t>
      </w:r>
    </w:p>
    <w:p>
      <w:pPr>
        <w:pStyle w:val="Heading2"/>
        <w:spacing w:after="120" w:before="280"/>
      </w:pPr>
      <w:r>
        <w:rPr>
          <w:color w:val="2E74B5"/>
        </w:rPr>
        <w:t xml:space="preserve">4.12 Application, API and AI Security (MCSB DS / AI)</w:t>
      </w:r>
    </w:p>
    <w:p>
      <w:pPr>
        <w:spacing w:after="120"/>
      </w:pPr>
      <w:r>
        <w:rPr>
          <w:b/>
          <w:bCs/>
        </w:rPr>
        <w:t xml:space="preserve">Gold standard (North Star): </w:t>
      </w:r>
    </w:p>
    <w:p>
      <w:pPr>
        <w:pStyle w:val="ListParagraph"/>
        <w:numPr>
          <w:ilvl w:val="0"/>
          <w:numId w:val="2"/>
        </w:numPr>
        <w:spacing w:after="60"/>
      </w:pPr>
      <w:r>
        <w:t xml:space="preserve">All internet-facing applications behind WAF (Front Door / App Gateway) in prevention mode with managed rulesets.</w:t>
      </w:r>
    </w:p>
    <w:p>
      <w:pPr>
        <w:pStyle w:val="ListParagraph"/>
        <w:numPr>
          <w:ilvl w:val="0"/>
          <w:numId w:val="2"/>
        </w:numPr>
        <w:spacing w:after="60"/>
      </w:pPr>
      <w:r>
        <w:t xml:space="preserve">APIs inventoried and secured: authentication on every endpoint, rate limiting, schema validation; OWASP ZAP authenticated + unauthenticated scan passes in the pipeline (per the existing ZAP automation), with Defender for APIs on the roadmap.</w:t>
      </w:r>
    </w:p>
    <w:p>
      <w:pPr>
        <w:pStyle w:val="ListParagraph"/>
        <w:numPr>
          <w:ilvl w:val="0"/>
          <w:numId w:val="2"/>
        </w:numPr>
        <w:spacing w:after="60"/>
      </w:pPr>
      <w:r>
        <w:t xml:space="preserve">Secure SDLC: threat modelling for new services, SAST/DAST gates, dependency scanning (Renovate), and software supply chain controls for third-party components including MCP servers.</w:t>
      </w:r>
    </w:p>
    <w:p>
      <w:pPr>
        <w:pStyle w:val="ListParagraph"/>
        <w:numPr>
          <w:ilvl w:val="0"/>
          <w:numId w:val="2"/>
        </w:numPr>
        <w:spacing w:after="60"/>
      </w:pPr>
      <w:r>
        <w:t xml:space="preserve">AI workloads (MCSB v2 AI domain): AI platforms hardened, prompts/outputs logged, agent tooling least-privileged and isolated, data used by AI systems classified and access-controlled before it reaches a model.</w:t>
      </w:r>
    </w:p>
    <w:p>
      <w:pPr>
        <w:spacing w:after="120"/>
      </w:pPr>
      <w:r>
        <w:rPr>
          <w:b/>
          <w:bCs/>
        </w:rPr>
        <w:t xml:space="preserve">Minimum baseline (must hold today): </w:t>
      </w:r>
    </w:p>
    <w:p>
      <w:pPr>
        <w:pStyle w:val="ListParagraph"/>
        <w:numPr>
          <w:ilvl w:val="0"/>
          <w:numId w:val="2"/>
        </w:numPr>
        <w:spacing w:after="60"/>
      </w:pPr>
      <w:r>
        <w:t xml:space="preserve">No API deployed to production without authentication and logging.</w:t>
      </w:r>
    </w:p>
    <w:p>
      <w:pPr>
        <w:pStyle w:val="ListParagraph"/>
        <w:numPr>
          <w:ilvl w:val="0"/>
          <w:numId w:val="2"/>
        </w:numPr>
        <w:spacing w:after="60"/>
      </w:pPr>
      <w:r>
        <w:t xml:space="preserve">ZAP baseline scan in CI for all externally exposed services.</w:t>
      </w:r>
    </w:p>
    <w:p>
      <w:pPr>
        <w:pStyle w:val="ListParagraph"/>
        <w:numPr>
          <w:ilvl w:val="0"/>
          <w:numId w:val="2"/>
        </w:numPr>
        <w:spacing w:after="60"/>
      </w:pPr>
      <w:r>
        <w:t xml:space="preserve">AI/agent tooling (including MCP servers) inventoried, Docker-isolated and bound to read-only RBAC unless a write scope is explicitly approved.</w:t>
      </w:r>
    </w:p>
    <w:p>
      <w:r>
        <w:br w:type="page"/>
      </w:r>
    </w:p>
    <w:p>
      <w:pPr>
        <w:pStyle w:val="Heading2"/>
        <w:spacing w:after="120" w:before="280"/>
      </w:pPr>
      <w:r>
        <w:rPr>
          <w:color w:val="2E74B5"/>
        </w:rPr>
        <w:t xml:space="preserve">4.13 Per-Service Hardening Baselines (Quick Reference)</w:t>
      </w:r>
    </w:p>
    <w:p>
      <w:pPr>
        <w:spacing w:after="120"/>
      </w:pPr>
      <w:r>
        <w:t xml:space="preserve">The table below is the quick-reference stance per Azure service – the answer to “what is our standard for X?” Detailed settings live in the MCSB service baselines, which Defender for Cloud measures automatically.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1F3864" w:val="clear"/>
            <w:tcMar>
              <w:top w:type="dxa" w:w="60"/>
              <w:left w:type="dxa" w:w="100"/>
              <w:bottom w:type="dxa" w:w="60"/>
              <w:right w:type="dxa" w:w="100"/>
            </w:tcMar>
          </w:tcPr>
          <w:p>
            <w:r>
              <w:rPr>
                <w:b/>
                <w:bCs/>
                <w:color w:val="FFFFFF"/>
                <w:sz w:val="20"/>
                <w:szCs w:val="20"/>
              </w:rPr>
              <w:t xml:space="preserve">Service</w:t>
            </w:r>
          </w:p>
        </w:tc>
        <w:tc>
          <w:tcPr>
            <w:tcW w:type="dxa" w:w="7500"/>
            <w:shd w:fill="1F3864" w:val="clear"/>
            <w:tcMar>
              <w:top w:type="dxa" w:w="60"/>
              <w:left w:type="dxa" w:w="100"/>
              <w:bottom w:type="dxa" w:w="60"/>
              <w:right w:type="dxa" w:w="100"/>
            </w:tcMar>
          </w:tcPr>
          <w:p>
            <w:r>
              <w:rPr>
                <w:b/>
                <w:bCs/>
                <w:color w:val="FFFFFF"/>
                <w:sz w:val="20"/>
                <w:szCs w:val="20"/>
              </w:rPr>
              <w:t xml:space="preserve">Non-negotiable baseline settings</w:t>
            </w:r>
          </w:p>
        </w:tc>
      </w:tr>
      <w:tr>
        <w:tc>
          <w:tcPr>
            <w:tcW w:type="dxa" w:w="2200"/>
            <w:tcMar>
              <w:top w:type="dxa" w:w="60"/>
              <w:left w:type="dxa" w:w="100"/>
              <w:bottom w:type="dxa" w:w="60"/>
              <w:right w:type="dxa" w:w="100"/>
            </w:tcMar>
          </w:tcPr>
          <w:p>
            <w:r>
              <w:rPr>
                <w:b w:val="false"/>
                <w:bCs w:val="false"/>
                <w:sz w:val="20"/>
                <w:szCs w:val="20"/>
              </w:rPr>
              <w:t xml:space="preserve">Azure SQL / SQL Server</w:t>
            </w:r>
          </w:p>
        </w:tc>
        <w:tc>
          <w:tcPr>
            <w:tcW w:type="dxa" w:w="7500"/>
            <w:tcMar>
              <w:top w:type="dxa" w:w="60"/>
              <w:left w:type="dxa" w:w="100"/>
              <w:bottom w:type="dxa" w:w="60"/>
              <w:right w:type="dxa" w:w="100"/>
            </w:tcMar>
          </w:tcPr>
          <w:p>
            <w:r>
              <w:rPr>
                <w:b w:val="false"/>
                <w:bCs w:val="false"/>
                <w:sz w:val="20"/>
                <w:szCs w:val="20"/>
              </w:rPr>
              <w:t xml:space="preserve">Public network access disabled (PE only); Entra-only auth preferred; TDE on; Force Encryption for TDS; auditing to Log Analytics; minimal fixed role membership; latest CU</w:t>
            </w:r>
          </w:p>
        </w:tc>
      </w:tr>
      <w:tr>
        <w:tc>
          <w:tcPr>
            <w:tcW w:type="dxa" w:w="2200"/>
            <w:shd w:fill="F2F2F2" w:val="clear"/>
            <w:tcMar>
              <w:top w:type="dxa" w:w="60"/>
              <w:left w:type="dxa" w:w="100"/>
              <w:bottom w:type="dxa" w:w="60"/>
              <w:right w:type="dxa" w:w="100"/>
            </w:tcMar>
          </w:tcPr>
          <w:p>
            <w:r>
              <w:rPr>
                <w:b w:val="false"/>
                <w:bCs w:val="false"/>
                <w:sz w:val="20"/>
                <w:szCs w:val="20"/>
              </w:rPr>
              <w:t xml:space="preserve">Storage Accounts</w:t>
            </w:r>
          </w:p>
        </w:tc>
        <w:tc>
          <w:tcPr>
            <w:tcW w:type="dxa" w:w="7500"/>
            <w:shd w:fill="F2F2F2" w:val="clear"/>
            <w:tcMar>
              <w:top w:type="dxa" w:w="60"/>
              <w:left w:type="dxa" w:w="100"/>
              <w:bottom w:type="dxa" w:w="60"/>
              <w:right w:type="dxa" w:w="100"/>
            </w:tcMar>
          </w:tcPr>
          <w:p>
            <w:r>
              <w:rPr>
                <w:b w:val="false"/>
                <w:bCs w:val="false"/>
                <w:sz w:val="20"/>
                <w:szCs w:val="20"/>
              </w:rPr>
              <w:t xml:space="preserve">HTTPS only; TLS 1.2 minimum; public blob access disabled; shared key access disabled where possible; SAS short-lived + scoped; soft delete + versioning; PE for production</w:t>
            </w:r>
          </w:p>
        </w:tc>
      </w:tr>
      <w:tr>
        <w:tc>
          <w:tcPr>
            <w:tcW w:type="dxa" w:w="2200"/>
            <w:tcMar>
              <w:top w:type="dxa" w:w="60"/>
              <w:left w:type="dxa" w:w="100"/>
              <w:bottom w:type="dxa" w:w="60"/>
              <w:right w:type="dxa" w:w="100"/>
            </w:tcMar>
          </w:tcPr>
          <w:p>
            <w:r>
              <w:rPr>
                <w:b w:val="false"/>
                <w:bCs w:val="false"/>
                <w:sz w:val="20"/>
                <w:szCs w:val="20"/>
              </w:rPr>
              <w:t xml:space="preserve">Key Vault</w:t>
            </w:r>
          </w:p>
        </w:tc>
        <w:tc>
          <w:tcPr>
            <w:tcW w:type="dxa" w:w="7500"/>
            <w:tcMar>
              <w:top w:type="dxa" w:w="60"/>
              <w:left w:type="dxa" w:w="100"/>
              <w:bottom w:type="dxa" w:w="60"/>
              <w:right w:type="dxa" w:w="100"/>
            </w:tcMar>
          </w:tcPr>
          <w:p>
            <w:r>
              <w:rPr>
                <w:b w:val="false"/>
                <w:bCs w:val="false"/>
                <w:sz w:val="20"/>
                <w:szCs w:val="20"/>
              </w:rPr>
              <w:t xml:space="preserve">RBAC authorisation; soft-delete + purge protection; PE; diagnostic logs on; no wildcard access</w:t>
            </w:r>
          </w:p>
        </w:tc>
      </w:tr>
      <w:tr>
        <w:tc>
          <w:tcPr>
            <w:tcW w:type="dxa" w:w="2200"/>
            <w:shd w:fill="F2F2F2" w:val="clear"/>
            <w:tcMar>
              <w:top w:type="dxa" w:w="60"/>
              <w:left w:type="dxa" w:w="100"/>
              <w:bottom w:type="dxa" w:w="60"/>
              <w:right w:type="dxa" w:w="100"/>
            </w:tcMar>
          </w:tcPr>
          <w:p>
            <w:r>
              <w:rPr>
                <w:b w:val="false"/>
                <w:bCs w:val="false"/>
                <w:sz w:val="20"/>
                <w:szCs w:val="20"/>
              </w:rPr>
              <w:t xml:space="preserve">AKS</w:t>
            </w:r>
          </w:p>
        </w:tc>
        <w:tc>
          <w:tcPr>
            <w:tcW w:type="dxa" w:w="7500"/>
            <w:shd w:fill="F2F2F2" w:val="clear"/>
            <w:tcMar>
              <w:top w:type="dxa" w:w="60"/>
              <w:left w:type="dxa" w:w="100"/>
              <w:bottom w:type="dxa" w:w="60"/>
              <w:right w:type="dxa" w:w="100"/>
            </w:tcMar>
          </w:tcPr>
          <w:p>
            <w:r>
              <w:rPr>
                <w:b w:val="false"/>
                <w:bCs w:val="false"/>
                <w:sz w:val="20"/>
                <w:szCs w:val="20"/>
              </w:rPr>
              <w:t xml:space="preserve">Supported version (N/N-1); Entra integration + Azure RBAC; private cluster or authorised IP ranges; Azure Policy add-on; workload identity; trusted registry enforcement; node OS auto-patching</w:t>
            </w:r>
          </w:p>
        </w:tc>
      </w:tr>
      <w:tr>
        <w:tc>
          <w:tcPr>
            <w:tcW w:type="dxa" w:w="2200"/>
            <w:tcMar>
              <w:top w:type="dxa" w:w="60"/>
              <w:left w:type="dxa" w:w="100"/>
              <w:bottom w:type="dxa" w:w="60"/>
              <w:right w:type="dxa" w:w="100"/>
            </w:tcMar>
          </w:tcPr>
          <w:p>
            <w:r>
              <w:rPr>
                <w:b w:val="false"/>
                <w:bCs w:val="false"/>
                <w:sz w:val="20"/>
                <w:szCs w:val="20"/>
              </w:rPr>
              <w:t xml:space="preserve">Container Registry (ACR)</w:t>
            </w:r>
          </w:p>
        </w:tc>
        <w:tc>
          <w:tcPr>
            <w:tcW w:type="dxa" w:w="7500"/>
            <w:tcMar>
              <w:top w:type="dxa" w:w="60"/>
              <w:left w:type="dxa" w:w="100"/>
              <w:bottom w:type="dxa" w:w="60"/>
              <w:right w:type="dxa" w:w="100"/>
            </w:tcMar>
          </w:tcPr>
          <w:p>
            <w:r>
              <w:rPr>
                <w:b w:val="false"/>
                <w:bCs w:val="false"/>
                <w:sz w:val="20"/>
                <w:szCs w:val="20"/>
              </w:rPr>
              <w:t xml:space="preserve">PE; admin account disabled; content trust/signing roadmap; Defender for Containers scanning; scheduled base-image rebuilds</w:t>
            </w:r>
          </w:p>
        </w:tc>
      </w:tr>
      <w:tr>
        <w:tc>
          <w:tcPr>
            <w:tcW w:type="dxa" w:w="2200"/>
            <w:shd w:fill="F2F2F2" w:val="clear"/>
            <w:tcMar>
              <w:top w:type="dxa" w:w="60"/>
              <w:left w:type="dxa" w:w="100"/>
              <w:bottom w:type="dxa" w:w="60"/>
              <w:right w:type="dxa" w:w="100"/>
            </w:tcMar>
          </w:tcPr>
          <w:p>
            <w:r>
              <w:rPr>
                <w:b w:val="false"/>
                <w:bCs w:val="false"/>
                <w:sz w:val="20"/>
                <w:szCs w:val="20"/>
              </w:rPr>
              <w:t xml:space="preserve">Virtual Machines</w:t>
            </w:r>
          </w:p>
        </w:tc>
        <w:tc>
          <w:tcPr>
            <w:tcW w:type="dxa" w:w="7500"/>
            <w:shd w:fill="F2F2F2" w:val="clear"/>
            <w:tcMar>
              <w:top w:type="dxa" w:w="60"/>
              <w:left w:type="dxa" w:w="100"/>
              <w:bottom w:type="dxa" w:w="60"/>
              <w:right w:type="dxa" w:w="100"/>
            </w:tcMar>
          </w:tcPr>
          <w:p>
            <w:r>
              <w:rPr>
                <w:b w:val="false"/>
                <w:bCs w:val="false"/>
                <w:sz w:val="20"/>
                <w:szCs w:val="20"/>
              </w:rPr>
              <w:t xml:space="preserve">Azure Update Manager enrolled; Defender for Servers; disk encryption; JIT access; no public RDP/SSH; boot diagnostics on</w:t>
            </w:r>
          </w:p>
        </w:tc>
      </w:tr>
      <w:tr>
        <w:tc>
          <w:tcPr>
            <w:tcW w:type="dxa" w:w="2200"/>
            <w:tcMar>
              <w:top w:type="dxa" w:w="60"/>
              <w:left w:type="dxa" w:w="100"/>
              <w:bottom w:type="dxa" w:w="60"/>
              <w:right w:type="dxa" w:w="100"/>
            </w:tcMar>
          </w:tcPr>
          <w:p>
            <w:r>
              <w:rPr>
                <w:b w:val="false"/>
                <w:bCs w:val="false"/>
                <w:sz w:val="20"/>
                <w:szCs w:val="20"/>
              </w:rPr>
              <w:t xml:space="preserve">App Service / Functions</w:t>
            </w:r>
          </w:p>
        </w:tc>
        <w:tc>
          <w:tcPr>
            <w:tcW w:type="dxa" w:w="7500"/>
            <w:tcMar>
              <w:top w:type="dxa" w:w="60"/>
              <w:left w:type="dxa" w:w="100"/>
              <w:bottom w:type="dxa" w:w="60"/>
              <w:right w:type="dxa" w:w="100"/>
            </w:tcMar>
          </w:tcPr>
          <w:p>
            <w:r>
              <w:rPr>
                <w:b w:val="false"/>
                <w:bCs w:val="false"/>
                <w:sz w:val="20"/>
                <w:szCs w:val="20"/>
              </w:rPr>
              <w:t xml:space="preserve">HTTPS only; TLS 1.2+; Managed Identity; VNet integration + PE; FTP disabled; remote debugging off in prod</w:t>
            </w:r>
          </w:p>
        </w:tc>
      </w:tr>
      <w:tr>
        <w:tc>
          <w:tcPr>
            <w:tcW w:type="dxa" w:w="2200"/>
            <w:shd w:fill="F2F2F2" w:val="clear"/>
            <w:tcMar>
              <w:top w:type="dxa" w:w="60"/>
              <w:left w:type="dxa" w:w="100"/>
              <w:bottom w:type="dxa" w:w="60"/>
              <w:right w:type="dxa" w:w="100"/>
            </w:tcMar>
          </w:tcPr>
          <w:p>
            <w:r>
              <w:rPr>
                <w:b w:val="false"/>
                <w:bCs w:val="false"/>
                <w:sz w:val="20"/>
                <w:szCs w:val="20"/>
              </w:rPr>
              <w:t xml:space="preserve">Networking</w:t>
            </w:r>
          </w:p>
        </w:tc>
        <w:tc>
          <w:tcPr>
            <w:tcW w:type="dxa" w:w="7500"/>
            <w:shd w:fill="F2F2F2" w:val="clear"/>
            <w:tcMar>
              <w:top w:type="dxa" w:w="60"/>
              <w:left w:type="dxa" w:w="100"/>
              <w:bottom w:type="dxa" w:w="60"/>
              <w:right w:type="dxa" w:w="100"/>
            </w:tcMar>
          </w:tcPr>
          <w:p>
            <w:r>
              <w:rPr>
                <w:b w:val="false"/>
                <w:bCs w:val="false"/>
                <w:sz w:val="20"/>
                <w:szCs w:val="20"/>
              </w:rPr>
              <w:t xml:space="preserve">NSG on every subnet; default-deny inbound; Azure Firewall egress via UDR; DDoS protection on hub; flow logs enabled</w:t>
            </w:r>
          </w:p>
        </w:tc>
      </w:tr>
      <w:tr>
        <w:tc>
          <w:tcPr>
            <w:tcW w:type="dxa" w:w="2200"/>
            <w:tcMar>
              <w:top w:type="dxa" w:w="60"/>
              <w:left w:type="dxa" w:w="100"/>
              <w:bottom w:type="dxa" w:w="60"/>
              <w:right w:type="dxa" w:w="100"/>
            </w:tcMar>
          </w:tcPr>
          <w:p>
            <w:r>
              <w:rPr>
                <w:b w:val="false"/>
                <w:bCs w:val="false"/>
                <w:sz w:val="20"/>
                <w:szCs w:val="20"/>
              </w:rPr>
              <w:t xml:space="preserve">Entra ID</w:t>
            </w:r>
          </w:p>
        </w:tc>
        <w:tc>
          <w:tcPr>
            <w:tcW w:type="dxa" w:w="7500"/>
            <w:tcMar>
              <w:top w:type="dxa" w:w="60"/>
              <w:left w:type="dxa" w:w="100"/>
              <w:bottom w:type="dxa" w:w="60"/>
              <w:right w:type="dxa" w:w="100"/>
            </w:tcMar>
          </w:tcPr>
          <w:p>
            <w:r>
              <w:rPr>
                <w:b w:val="false"/>
                <w:bCs w:val="false"/>
                <w:sz w:val="20"/>
                <w:szCs w:val="20"/>
              </w:rPr>
              <w:t xml:space="preserve">MFA enforced; legacy auth blocked; PIM for privileged roles; guest access reviewed; app consent restricted; emergency access accounts monitored</w:t>
            </w:r>
          </w:p>
        </w:tc>
      </w:tr>
    </w:tbl>
    <w:p>
      <w:pPr>
        <w:spacing w:before="200"/>
      </w:pPr>
    </w:p>
    <w:p>
      <w:pPr>
        <w:pStyle w:val="Heading2"/>
        <w:spacing w:after="120" w:before="280"/>
      </w:pPr>
      <w:r>
        <w:rPr>
          <w:color w:val="2E74B5"/>
        </w:rPr>
        <w:t xml:space="preserve">4.14 Security Logging Matrix (Template)</w:t>
      </w:r>
    </w:p>
    <w:p>
      <w:pPr>
        <w:spacing w:after="120"/>
      </w:pPr>
      <w:r>
        <w:t xml:space="preserve">This matrix answers “what events do we log from a security standpoint?” It will be completed with the application team's existing logging and consolidated here as the single logging standard. Retention shown is the working default; regulated data classes may require longer.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1900"/>
        <w:gridCol w:w="1100"/>
        <w:gridCol w:w="1100"/>
      </w:tblGrid>
      <w:tr>
        <w:trPr>
          <w:tblHeader/>
        </w:trPr>
        <w:tc>
          <w:tcPr>
            <w:tcW w:type="dxa" w:w="2300"/>
            <w:shd w:fill="1F3864" w:val="clear"/>
            <w:tcMar>
              <w:top w:type="dxa" w:w="60"/>
              <w:left w:type="dxa" w:w="100"/>
              <w:bottom w:type="dxa" w:w="60"/>
              <w:right w:type="dxa" w:w="100"/>
            </w:tcMar>
          </w:tcPr>
          <w:p>
            <w:r>
              <w:rPr>
                <w:b/>
                <w:bCs/>
                <w:color w:val="FFFFFF"/>
                <w:sz w:val="20"/>
                <w:szCs w:val="20"/>
              </w:rPr>
              <w:t xml:space="preserve">Source</w:t>
            </w:r>
          </w:p>
        </w:tc>
        <w:tc>
          <w:tcPr>
            <w:tcW w:type="dxa" w:w="3300"/>
            <w:shd w:fill="1F3864" w:val="clear"/>
            <w:tcMar>
              <w:top w:type="dxa" w:w="60"/>
              <w:left w:type="dxa" w:w="100"/>
              <w:bottom w:type="dxa" w:w="60"/>
              <w:right w:type="dxa" w:w="100"/>
            </w:tcMar>
          </w:tcPr>
          <w:p>
            <w:r>
              <w:rPr>
                <w:b/>
                <w:bCs/>
                <w:color w:val="FFFFFF"/>
                <w:sz w:val="20"/>
                <w:szCs w:val="20"/>
              </w:rPr>
              <w:t xml:space="preserve">Events captured</w:t>
            </w:r>
          </w:p>
        </w:tc>
        <w:tc>
          <w:tcPr>
            <w:tcW w:type="dxa" w:w="1900"/>
            <w:shd w:fill="1F3864" w:val="clear"/>
            <w:tcMar>
              <w:top w:type="dxa" w:w="60"/>
              <w:left w:type="dxa" w:w="100"/>
              <w:bottom w:type="dxa" w:w="60"/>
              <w:right w:type="dxa" w:w="100"/>
            </w:tcMar>
          </w:tcPr>
          <w:p>
            <w:r>
              <w:rPr>
                <w:b/>
                <w:bCs/>
                <w:color w:val="FFFFFF"/>
                <w:sz w:val="20"/>
                <w:szCs w:val="20"/>
              </w:rPr>
              <w:t xml:space="preserve">Destination</w:t>
            </w:r>
          </w:p>
        </w:tc>
        <w:tc>
          <w:tcPr>
            <w:tcW w:type="dxa" w:w="1100"/>
            <w:shd w:fill="1F3864" w:val="clear"/>
            <w:tcMar>
              <w:top w:type="dxa" w:w="60"/>
              <w:left w:type="dxa" w:w="100"/>
              <w:bottom w:type="dxa" w:w="60"/>
              <w:right w:type="dxa" w:w="100"/>
            </w:tcMar>
          </w:tcPr>
          <w:p>
            <w:r>
              <w:rPr>
                <w:b/>
                <w:bCs/>
                <w:color w:val="FFFFFF"/>
                <w:sz w:val="20"/>
                <w:szCs w:val="20"/>
              </w:rPr>
              <w:t xml:space="preserve">Retention</w:t>
            </w:r>
          </w:p>
        </w:tc>
        <w:tc>
          <w:tcPr>
            <w:tcW w:type="dxa" w:w="1100"/>
            <w:shd w:fill="1F3864" w:val="clear"/>
            <w:tcMar>
              <w:top w:type="dxa" w:w="60"/>
              <w:left w:type="dxa" w:w="100"/>
              <w:bottom w:type="dxa" w:w="60"/>
              <w:right w:type="dxa" w:w="100"/>
            </w:tcMar>
          </w:tcPr>
          <w:p>
            <w:r>
              <w:rPr>
                <w:b/>
                <w:bCs/>
                <w:color w:val="FFFFFF"/>
                <w:sz w:val="20"/>
                <w:szCs w:val="20"/>
              </w:rPr>
              <w:t xml:space="preserve">Status</w:t>
            </w:r>
          </w:p>
        </w:tc>
      </w:tr>
      <w:tr>
        <w:tc>
          <w:tcPr>
            <w:tcW w:type="dxa" w:w="2300"/>
            <w:tcMar>
              <w:top w:type="dxa" w:w="60"/>
              <w:left w:type="dxa" w:w="100"/>
              <w:bottom w:type="dxa" w:w="60"/>
              <w:right w:type="dxa" w:w="100"/>
            </w:tcMar>
          </w:tcPr>
          <w:p>
            <w:r>
              <w:rPr>
                <w:b w:val="false"/>
                <w:bCs w:val="false"/>
                <w:sz w:val="20"/>
                <w:szCs w:val="20"/>
              </w:rPr>
              <w:t xml:space="preserve">Entra ID</w:t>
            </w:r>
          </w:p>
        </w:tc>
        <w:tc>
          <w:tcPr>
            <w:tcW w:type="dxa" w:w="3300"/>
            <w:tcMar>
              <w:top w:type="dxa" w:w="60"/>
              <w:left w:type="dxa" w:w="100"/>
              <w:bottom w:type="dxa" w:w="60"/>
              <w:right w:type="dxa" w:w="100"/>
            </w:tcMar>
          </w:tcPr>
          <w:p>
            <w:r>
              <w:rPr>
                <w:b w:val="false"/>
                <w:bCs w:val="false"/>
                <w:sz w:val="20"/>
                <w:szCs w:val="20"/>
              </w:rPr>
              <w:t xml:space="preserve">Sign-ins, audit, risky users/sign-ins, provisioning</w:t>
            </w:r>
          </w:p>
        </w:tc>
        <w:tc>
          <w:tcPr>
            <w:tcW w:type="dxa" w:w="1900"/>
            <w:tcMar>
              <w:top w:type="dxa" w:w="60"/>
              <w:left w:type="dxa" w:w="100"/>
              <w:bottom w:type="dxa" w:w="60"/>
              <w:right w:type="dxa" w:w="100"/>
            </w:tcMar>
          </w:tcPr>
          <w:p>
            <w:r>
              <w:rPr>
                <w:b w:val="false"/>
                <w:bCs w:val="false"/>
                <w:sz w:val="20"/>
                <w:szCs w:val="20"/>
              </w:rPr>
              <w:t xml:space="preserve">Sentinel</w:t>
            </w:r>
          </w:p>
        </w:tc>
        <w:tc>
          <w:tcPr>
            <w:tcW w:type="dxa" w:w="1100"/>
            <w:tcMar>
              <w:top w:type="dxa" w:w="60"/>
              <w:left w:type="dxa" w:w="100"/>
              <w:bottom w:type="dxa" w:w="60"/>
              <w:right w:type="dxa" w:w="100"/>
            </w:tcMar>
          </w:tcPr>
          <w:p>
            <w:r>
              <w:rPr>
                <w:b w:val="false"/>
                <w:bCs w:val="false"/>
                <w:sz w:val="20"/>
                <w:szCs w:val="20"/>
              </w:rPr>
              <w:t xml:space="preserve">1 yr (90d hot)</w:t>
            </w:r>
          </w:p>
        </w:tc>
        <w:tc>
          <w:tcPr>
            <w:tcW w:type="dxa" w:w="1100"/>
            <w:tcMar>
              <w:top w:type="dxa" w:w="60"/>
              <w:left w:type="dxa" w:w="100"/>
              <w:bottom w:type="dxa" w:w="60"/>
              <w:right w:type="dxa" w:w="100"/>
            </w:tcMar>
          </w:tcPr>
          <w:p>
            <w:r>
              <w:rPr>
                <w:b w:val="false"/>
                <w:bCs w:val="false"/>
                <w:sz w:val="20"/>
                <w:szCs w:val="20"/>
              </w:rPr>
              <w:t xml:space="preserve">Live</w:t>
            </w:r>
          </w:p>
        </w:tc>
      </w:tr>
      <w:tr>
        <w:tc>
          <w:tcPr>
            <w:tcW w:type="dxa" w:w="2300"/>
            <w:shd w:fill="F2F2F2" w:val="clear"/>
            <w:tcMar>
              <w:top w:type="dxa" w:w="60"/>
              <w:left w:type="dxa" w:w="100"/>
              <w:bottom w:type="dxa" w:w="60"/>
              <w:right w:type="dxa" w:w="100"/>
            </w:tcMar>
          </w:tcPr>
          <w:p>
            <w:r>
              <w:rPr>
                <w:b w:val="false"/>
                <w:bCs w:val="false"/>
                <w:sz w:val="20"/>
                <w:szCs w:val="20"/>
              </w:rPr>
              <w:t xml:space="preserve">Azure Activity Log</w:t>
            </w:r>
          </w:p>
        </w:tc>
        <w:tc>
          <w:tcPr>
            <w:tcW w:type="dxa" w:w="3300"/>
            <w:shd w:fill="F2F2F2" w:val="clear"/>
            <w:tcMar>
              <w:top w:type="dxa" w:w="60"/>
              <w:left w:type="dxa" w:w="100"/>
              <w:bottom w:type="dxa" w:w="60"/>
              <w:right w:type="dxa" w:w="100"/>
            </w:tcMar>
          </w:tcPr>
          <w:p>
            <w:r>
              <w:rPr>
                <w:b w:val="false"/>
                <w:bCs w:val="false"/>
                <w:sz w:val="20"/>
                <w:szCs w:val="20"/>
              </w:rPr>
              <w:t xml:space="preserve">All control-plane operations, policy events</w:t>
            </w:r>
          </w:p>
        </w:tc>
        <w:tc>
          <w:tcPr>
            <w:tcW w:type="dxa" w:w="1900"/>
            <w:shd w:fill="F2F2F2" w:val="clear"/>
            <w:tcMar>
              <w:top w:type="dxa" w:w="60"/>
              <w:left w:type="dxa" w:w="100"/>
              <w:bottom w:type="dxa" w:w="60"/>
              <w:right w:type="dxa" w:w="100"/>
            </w:tcMar>
          </w:tcPr>
          <w:p>
            <w:r>
              <w:rPr>
                <w:b w:val="false"/>
                <w:bCs w:val="false"/>
                <w:sz w:val="20"/>
                <w:szCs w:val="20"/>
              </w:rPr>
              <w:t xml:space="preserve">Sentinel</w:t>
            </w:r>
          </w:p>
        </w:tc>
        <w:tc>
          <w:tcPr>
            <w:tcW w:type="dxa" w:w="1100"/>
            <w:shd w:fill="F2F2F2" w:val="clear"/>
            <w:tcMar>
              <w:top w:type="dxa" w:w="60"/>
              <w:left w:type="dxa" w:w="100"/>
              <w:bottom w:type="dxa" w:w="60"/>
              <w:right w:type="dxa" w:w="100"/>
            </w:tcMar>
          </w:tcPr>
          <w:p>
            <w:r>
              <w:rPr>
                <w:b w:val="false"/>
                <w:bCs w:val="false"/>
                <w:sz w:val="20"/>
                <w:szCs w:val="20"/>
              </w:rPr>
              <w:t xml:space="preserve">1 yr</w:t>
            </w:r>
          </w:p>
        </w:tc>
        <w:tc>
          <w:tcPr>
            <w:tcW w:type="dxa" w:w="1100"/>
            <w:shd w:fill="F2F2F2" w:val="clear"/>
            <w:tcMar>
              <w:top w:type="dxa" w:w="60"/>
              <w:left w:type="dxa" w:w="100"/>
              <w:bottom w:type="dxa" w:w="60"/>
              <w:right w:type="dxa" w:w="100"/>
            </w:tcMar>
          </w:tcPr>
          <w:p>
            <w:r>
              <w:rPr>
                <w:b w:val="false"/>
                <w:bCs w:val="false"/>
                <w:sz w:val="20"/>
                <w:szCs w:val="20"/>
              </w:rPr>
              <w:t xml:space="preserve">Live</w:t>
            </w:r>
          </w:p>
        </w:tc>
      </w:tr>
      <w:tr>
        <w:tc>
          <w:tcPr>
            <w:tcW w:type="dxa" w:w="2300"/>
            <w:tcMar>
              <w:top w:type="dxa" w:w="60"/>
              <w:left w:type="dxa" w:w="100"/>
              <w:bottom w:type="dxa" w:w="60"/>
              <w:right w:type="dxa" w:w="100"/>
            </w:tcMar>
          </w:tcPr>
          <w:p>
            <w:r>
              <w:rPr>
                <w:b w:val="false"/>
                <w:bCs w:val="false"/>
                <w:sz w:val="20"/>
                <w:szCs w:val="20"/>
              </w:rPr>
              <w:t xml:space="preserve">Azure Firewall</w:t>
            </w:r>
          </w:p>
        </w:tc>
        <w:tc>
          <w:tcPr>
            <w:tcW w:type="dxa" w:w="3300"/>
            <w:tcMar>
              <w:top w:type="dxa" w:w="60"/>
              <w:left w:type="dxa" w:w="100"/>
              <w:bottom w:type="dxa" w:w="60"/>
              <w:right w:type="dxa" w:w="100"/>
            </w:tcMar>
          </w:tcPr>
          <w:p>
            <w:r>
              <w:rPr>
                <w:b w:val="false"/>
                <w:bCs w:val="false"/>
                <w:sz w:val="20"/>
                <w:szCs w:val="20"/>
              </w:rPr>
              <w:t xml:space="preserve">Allow/deny, DNS proxy, threat intel hits</w:t>
            </w:r>
          </w:p>
        </w:tc>
        <w:tc>
          <w:tcPr>
            <w:tcW w:type="dxa" w:w="1900"/>
            <w:tcMar>
              <w:top w:type="dxa" w:w="60"/>
              <w:left w:type="dxa" w:w="100"/>
              <w:bottom w:type="dxa" w:w="60"/>
              <w:right w:type="dxa" w:w="100"/>
            </w:tcMar>
          </w:tcPr>
          <w:p>
            <w:r>
              <w:rPr>
                <w:b w:val="false"/>
                <w:bCs w:val="false"/>
                <w:sz w:val="20"/>
                <w:szCs w:val="20"/>
              </w:rPr>
              <w:t xml:space="preserve">Sentinel</w:t>
            </w:r>
          </w:p>
        </w:tc>
        <w:tc>
          <w:tcPr>
            <w:tcW w:type="dxa" w:w="1100"/>
            <w:tcMar>
              <w:top w:type="dxa" w:w="60"/>
              <w:left w:type="dxa" w:w="100"/>
              <w:bottom w:type="dxa" w:w="60"/>
              <w:right w:type="dxa" w:w="100"/>
            </w:tcMar>
          </w:tcPr>
          <w:p>
            <w:r>
              <w:rPr>
                <w:b w:val="false"/>
                <w:bCs w:val="false"/>
                <w:sz w:val="20"/>
                <w:szCs w:val="20"/>
              </w:rPr>
              <w:t xml:space="preserve">180d</w:t>
            </w:r>
          </w:p>
        </w:tc>
        <w:tc>
          <w:tcPr>
            <w:tcW w:type="dxa" w:w="1100"/>
            <w:tcMar>
              <w:top w:type="dxa" w:w="60"/>
              <w:left w:type="dxa" w:w="100"/>
              <w:bottom w:type="dxa" w:w="60"/>
              <w:right w:type="dxa" w:w="100"/>
            </w:tcMar>
          </w:tcPr>
          <w:p>
            <w:r>
              <w:rPr>
                <w:b w:val="false"/>
                <w:bCs w:val="false"/>
                <w:sz w:val="20"/>
                <w:szCs w:val="20"/>
              </w:rPr>
              <w:t xml:space="preserve">Live</w:t>
            </w:r>
          </w:p>
        </w:tc>
      </w:tr>
      <w:tr>
        <w:tc>
          <w:tcPr>
            <w:tcW w:type="dxa" w:w="2300"/>
            <w:shd w:fill="F2F2F2" w:val="clear"/>
            <w:tcMar>
              <w:top w:type="dxa" w:w="60"/>
              <w:left w:type="dxa" w:w="100"/>
              <w:bottom w:type="dxa" w:w="60"/>
              <w:right w:type="dxa" w:w="100"/>
            </w:tcMar>
          </w:tcPr>
          <w:p>
            <w:r>
              <w:rPr>
                <w:b w:val="false"/>
                <w:bCs w:val="false"/>
                <w:sz w:val="20"/>
                <w:szCs w:val="20"/>
              </w:rPr>
              <w:t xml:space="preserve">NSG Flow Logs / VNet Flow Logs</w:t>
            </w:r>
          </w:p>
        </w:tc>
        <w:tc>
          <w:tcPr>
            <w:tcW w:type="dxa" w:w="3300"/>
            <w:shd w:fill="F2F2F2" w:val="clear"/>
            <w:tcMar>
              <w:top w:type="dxa" w:w="60"/>
              <w:left w:type="dxa" w:w="100"/>
              <w:bottom w:type="dxa" w:w="60"/>
              <w:right w:type="dxa" w:w="100"/>
            </w:tcMar>
          </w:tcPr>
          <w:p>
            <w:r>
              <w:rPr>
                <w:b w:val="false"/>
                <w:bCs w:val="false"/>
                <w:sz w:val="20"/>
                <w:szCs w:val="20"/>
              </w:rPr>
              <w:t xml:space="preserve">Allowed/denied flows</w:t>
            </w:r>
          </w:p>
        </w:tc>
        <w:tc>
          <w:tcPr>
            <w:tcW w:type="dxa" w:w="1900"/>
            <w:shd w:fill="F2F2F2" w:val="clear"/>
            <w:tcMar>
              <w:top w:type="dxa" w:w="60"/>
              <w:left w:type="dxa" w:w="100"/>
              <w:bottom w:type="dxa" w:w="60"/>
              <w:right w:type="dxa" w:w="100"/>
            </w:tcMar>
          </w:tcPr>
          <w:p>
            <w:r>
              <w:rPr>
                <w:b w:val="false"/>
                <w:bCs w:val="false"/>
                <w:sz w:val="20"/>
                <w:szCs w:val="20"/>
              </w:rPr>
              <w:t xml:space="preserve">Storage + Traffic Analytics</w:t>
            </w:r>
          </w:p>
        </w:tc>
        <w:tc>
          <w:tcPr>
            <w:tcW w:type="dxa" w:w="1100"/>
            <w:shd w:fill="F2F2F2" w:val="clear"/>
            <w:tcMar>
              <w:top w:type="dxa" w:w="60"/>
              <w:left w:type="dxa" w:w="100"/>
              <w:bottom w:type="dxa" w:w="60"/>
              <w:right w:type="dxa" w:w="100"/>
            </w:tcMar>
          </w:tcPr>
          <w:p>
            <w:r>
              <w:rPr>
                <w:b w:val="false"/>
                <w:bCs w:val="false"/>
                <w:sz w:val="20"/>
                <w:szCs w:val="20"/>
              </w:rPr>
              <w:t xml:space="preserve">90d</w:t>
            </w:r>
          </w:p>
        </w:tc>
        <w:tc>
          <w:tcPr>
            <w:tcW w:type="dxa" w:w="1100"/>
            <w:shd w:fill="F2F2F2" w:val="clear"/>
            <w:tcMar>
              <w:top w:type="dxa" w:w="60"/>
              <w:left w:type="dxa" w:w="100"/>
              <w:bottom w:type="dxa" w:w="60"/>
              <w:right w:type="dxa" w:w="100"/>
            </w:tcMar>
          </w:tcPr>
          <w:p>
            <w:r>
              <w:rPr>
                <w:b w:val="false"/>
                <w:bCs w:val="false"/>
                <w:sz w:val="20"/>
                <w:szCs w:val="20"/>
              </w:rPr>
              <w:t xml:space="preserve">Partial</w:t>
            </w:r>
          </w:p>
        </w:tc>
      </w:tr>
      <w:tr>
        <w:tc>
          <w:tcPr>
            <w:tcW w:type="dxa" w:w="2300"/>
            <w:tcMar>
              <w:top w:type="dxa" w:w="60"/>
              <w:left w:type="dxa" w:w="100"/>
              <w:bottom w:type="dxa" w:w="60"/>
              <w:right w:type="dxa" w:w="100"/>
            </w:tcMar>
          </w:tcPr>
          <w:p>
            <w:r>
              <w:rPr>
                <w:b w:val="false"/>
                <w:bCs w:val="false"/>
                <w:sz w:val="20"/>
                <w:szCs w:val="20"/>
              </w:rPr>
              <w:t xml:space="preserve">Key Vault</w:t>
            </w:r>
          </w:p>
        </w:tc>
        <w:tc>
          <w:tcPr>
            <w:tcW w:type="dxa" w:w="3300"/>
            <w:tcMar>
              <w:top w:type="dxa" w:w="60"/>
              <w:left w:type="dxa" w:w="100"/>
              <w:bottom w:type="dxa" w:w="60"/>
              <w:right w:type="dxa" w:w="100"/>
            </w:tcMar>
          </w:tcPr>
          <w:p>
            <w:r>
              <w:rPr>
                <w:b w:val="false"/>
                <w:bCs w:val="false"/>
                <w:sz w:val="20"/>
                <w:szCs w:val="20"/>
              </w:rPr>
              <w:t xml:space="preserve">Data-plane access (get/list secret, key ops)</w:t>
            </w:r>
          </w:p>
        </w:tc>
        <w:tc>
          <w:tcPr>
            <w:tcW w:type="dxa" w:w="1900"/>
            <w:tcMar>
              <w:top w:type="dxa" w:w="60"/>
              <w:left w:type="dxa" w:w="100"/>
              <w:bottom w:type="dxa" w:w="60"/>
              <w:right w:type="dxa" w:w="100"/>
            </w:tcMar>
          </w:tcPr>
          <w:p>
            <w:r>
              <w:rPr>
                <w:b w:val="false"/>
                <w:bCs w:val="false"/>
                <w:sz w:val="20"/>
                <w:szCs w:val="20"/>
              </w:rPr>
              <w:t xml:space="preserve">Sentinel</w:t>
            </w:r>
          </w:p>
        </w:tc>
        <w:tc>
          <w:tcPr>
            <w:tcW w:type="dxa" w:w="1100"/>
            <w:tcMar>
              <w:top w:type="dxa" w:w="60"/>
              <w:left w:type="dxa" w:w="100"/>
              <w:bottom w:type="dxa" w:w="60"/>
              <w:right w:type="dxa" w:w="100"/>
            </w:tcMar>
          </w:tcPr>
          <w:p>
            <w:r>
              <w:rPr>
                <w:b w:val="false"/>
                <w:bCs w:val="false"/>
                <w:sz w:val="20"/>
                <w:szCs w:val="20"/>
              </w:rPr>
              <w:t xml:space="preserve">1 yr</w:t>
            </w:r>
          </w:p>
        </w:tc>
        <w:tc>
          <w:tcPr>
            <w:tcW w:type="dxa" w:w="1100"/>
            <w:tcMar>
              <w:top w:type="dxa" w:w="60"/>
              <w:left w:type="dxa" w:w="100"/>
              <w:bottom w:type="dxa" w:w="60"/>
              <w:right w:type="dxa" w:w="100"/>
            </w:tcMar>
          </w:tcPr>
          <w:p>
            <w:r>
              <w:rPr>
                <w:b w:val="false"/>
                <w:bCs w:val="false"/>
                <w:sz w:val="20"/>
                <w:szCs w:val="20"/>
              </w:rPr>
              <w:t xml:space="preserve">To confirm</w:t>
            </w:r>
          </w:p>
        </w:tc>
      </w:tr>
      <w:tr>
        <w:tc>
          <w:tcPr>
            <w:tcW w:type="dxa" w:w="2300"/>
            <w:shd w:fill="F2F2F2" w:val="clear"/>
            <w:tcMar>
              <w:top w:type="dxa" w:w="60"/>
              <w:left w:type="dxa" w:w="100"/>
              <w:bottom w:type="dxa" w:w="60"/>
              <w:right w:type="dxa" w:w="100"/>
            </w:tcMar>
          </w:tcPr>
          <w:p>
            <w:r>
              <w:rPr>
                <w:b w:val="false"/>
                <w:bCs w:val="false"/>
                <w:sz w:val="20"/>
                <w:szCs w:val="20"/>
              </w:rPr>
              <w:t xml:space="preserve">Azure SQL</w:t>
            </w:r>
          </w:p>
        </w:tc>
        <w:tc>
          <w:tcPr>
            <w:tcW w:type="dxa" w:w="3300"/>
            <w:shd w:fill="F2F2F2" w:val="clear"/>
            <w:tcMar>
              <w:top w:type="dxa" w:w="60"/>
              <w:left w:type="dxa" w:w="100"/>
              <w:bottom w:type="dxa" w:w="60"/>
              <w:right w:type="dxa" w:w="100"/>
            </w:tcMar>
          </w:tcPr>
          <w:p>
            <w:r>
              <w:rPr>
                <w:b w:val="false"/>
                <w:bCs w:val="false"/>
                <w:sz w:val="20"/>
                <w:szCs w:val="20"/>
              </w:rPr>
              <w:t xml:space="preserve">Auditing (logins, DDL/DML on sensitive objects), threat detection</w:t>
            </w:r>
          </w:p>
        </w:tc>
        <w:tc>
          <w:tcPr>
            <w:tcW w:type="dxa" w:w="1900"/>
            <w:shd w:fill="F2F2F2" w:val="clear"/>
            <w:tcMar>
              <w:top w:type="dxa" w:w="60"/>
              <w:left w:type="dxa" w:w="100"/>
              <w:bottom w:type="dxa" w:w="60"/>
              <w:right w:type="dxa" w:w="100"/>
            </w:tcMar>
          </w:tcPr>
          <w:p>
            <w:r>
              <w:rPr>
                <w:b w:val="false"/>
                <w:bCs w:val="false"/>
                <w:sz w:val="20"/>
                <w:szCs w:val="20"/>
              </w:rPr>
              <w:t xml:space="preserve">Log Analytics</w:t>
            </w:r>
          </w:p>
        </w:tc>
        <w:tc>
          <w:tcPr>
            <w:tcW w:type="dxa" w:w="1100"/>
            <w:shd w:fill="F2F2F2" w:val="clear"/>
            <w:tcMar>
              <w:top w:type="dxa" w:w="60"/>
              <w:left w:type="dxa" w:w="100"/>
              <w:bottom w:type="dxa" w:w="60"/>
              <w:right w:type="dxa" w:w="100"/>
            </w:tcMar>
          </w:tcPr>
          <w:p>
            <w:r>
              <w:rPr>
                <w:b w:val="false"/>
                <w:bCs w:val="false"/>
                <w:sz w:val="20"/>
                <w:szCs w:val="20"/>
              </w:rPr>
              <w:t xml:space="preserve">1 yr</w:t>
            </w:r>
          </w:p>
        </w:tc>
        <w:tc>
          <w:tcPr>
            <w:tcW w:type="dxa" w:w="1100"/>
            <w:shd w:fill="F2F2F2" w:val="clear"/>
            <w:tcMar>
              <w:top w:type="dxa" w:w="60"/>
              <w:left w:type="dxa" w:w="100"/>
              <w:bottom w:type="dxa" w:w="60"/>
              <w:right w:type="dxa" w:w="100"/>
            </w:tcMar>
          </w:tcPr>
          <w:p>
            <w:r>
              <w:rPr>
                <w:b w:val="false"/>
                <w:bCs w:val="false"/>
                <w:sz w:val="20"/>
                <w:szCs w:val="20"/>
              </w:rPr>
              <w:t xml:space="preserve">Partial</w:t>
            </w:r>
          </w:p>
        </w:tc>
      </w:tr>
      <w:tr>
        <w:tc>
          <w:tcPr>
            <w:tcW w:type="dxa" w:w="2300"/>
            <w:tcMar>
              <w:top w:type="dxa" w:w="60"/>
              <w:left w:type="dxa" w:w="100"/>
              <w:bottom w:type="dxa" w:w="60"/>
              <w:right w:type="dxa" w:w="100"/>
            </w:tcMar>
          </w:tcPr>
          <w:p>
            <w:r>
              <w:rPr>
                <w:b w:val="false"/>
                <w:bCs w:val="false"/>
                <w:sz w:val="20"/>
                <w:szCs w:val="20"/>
              </w:rPr>
              <w:t xml:space="preserve">AKS</w:t>
            </w:r>
          </w:p>
        </w:tc>
        <w:tc>
          <w:tcPr>
            <w:tcW w:type="dxa" w:w="3300"/>
            <w:tcMar>
              <w:top w:type="dxa" w:w="60"/>
              <w:left w:type="dxa" w:w="100"/>
              <w:bottom w:type="dxa" w:w="60"/>
              <w:right w:type="dxa" w:w="100"/>
            </w:tcMar>
          </w:tcPr>
          <w:p>
            <w:r>
              <w:rPr>
                <w:b w:val="false"/>
                <w:bCs w:val="false"/>
                <w:sz w:val="20"/>
                <w:szCs w:val="20"/>
              </w:rPr>
              <w:t xml:space="preserve">API server audit, guard (Entra), kube-audit-admin</w:t>
            </w:r>
          </w:p>
        </w:tc>
        <w:tc>
          <w:tcPr>
            <w:tcW w:type="dxa" w:w="1900"/>
            <w:tcMar>
              <w:top w:type="dxa" w:w="60"/>
              <w:left w:type="dxa" w:w="100"/>
              <w:bottom w:type="dxa" w:w="60"/>
              <w:right w:type="dxa" w:w="100"/>
            </w:tcMar>
          </w:tcPr>
          <w:p>
            <w:r>
              <w:rPr>
                <w:b w:val="false"/>
                <w:bCs w:val="false"/>
                <w:sz w:val="20"/>
                <w:szCs w:val="20"/>
              </w:rPr>
              <w:t xml:space="preserve">Sentinel</w:t>
            </w:r>
          </w:p>
        </w:tc>
        <w:tc>
          <w:tcPr>
            <w:tcW w:type="dxa" w:w="1100"/>
            <w:tcMar>
              <w:top w:type="dxa" w:w="60"/>
              <w:left w:type="dxa" w:w="100"/>
              <w:bottom w:type="dxa" w:w="60"/>
              <w:right w:type="dxa" w:w="100"/>
            </w:tcMar>
          </w:tcPr>
          <w:p>
            <w:r>
              <w:rPr>
                <w:b w:val="false"/>
                <w:bCs w:val="false"/>
                <w:sz w:val="20"/>
                <w:szCs w:val="20"/>
              </w:rPr>
              <w:t xml:space="preserve">90d</w:t>
            </w:r>
          </w:p>
        </w:tc>
        <w:tc>
          <w:tcPr>
            <w:tcW w:type="dxa" w:w="1100"/>
            <w:tcMar>
              <w:top w:type="dxa" w:w="60"/>
              <w:left w:type="dxa" w:w="100"/>
              <w:bottom w:type="dxa" w:w="60"/>
              <w:right w:type="dxa" w:w="100"/>
            </w:tcMar>
          </w:tcPr>
          <w:p>
            <w:r>
              <w:rPr>
                <w:b w:val="false"/>
                <w:bCs w:val="false"/>
                <w:sz w:val="20"/>
                <w:szCs w:val="20"/>
              </w:rPr>
              <w:t xml:space="preserve">To confirm</w:t>
            </w:r>
          </w:p>
        </w:tc>
      </w:tr>
      <w:tr>
        <w:tc>
          <w:tcPr>
            <w:tcW w:type="dxa" w:w="2300"/>
            <w:shd w:fill="F2F2F2" w:val="clear"/>
            <w:tcMar>
              <w:top w:type="dxa" w:w="60"/>
              <w:left w:type="dxa" w:w="100"/>
              <w:bottom w:type="dxa" w:w="60"/>
              <w:right w:type="dxa" w:w="100"/>
            </w:tcMar>
          </w:tcPr>
          <w:p>
            <w:r>
              <w:rPr>
                <w:b w:val="false"/>
                <w:bCs w:val="false"/>
                <w:sz w:val="20"/>
                <w:szCs w:val="20"/>
              </w:rPr>
              <w:t xml:space="preserve">Storage</w:t>
            </w:r>
          </w:p>
        </w:tc>
        <w:tc>
          <w:tcPr>
            <w:tcW w:type="dxa" w:w="3300"/>
            <w:shd w:fill="F2F2F2" w:val="clear"/>
            <w:tcMar>
              <w:top w:type="dxa" w:w="60"/>
              <w:left w:type="dxa" w:w="100"/>
              <w:bottom w:type="dxa" w:w="60"/>
              <w:right w:type="dxa" w:w="100"/>
            </w:tcMar>
          </w:tcPr>
          <w:p>
            <w:r>
              <w:rPr>
                <w:b w:val="false"/>
                <w:bCs w:val="false"/>
                <w:sz w:val="20"/>
                <w:szCs w:val="20"/>
              </w:rPr>
              <w:t xml:space="preserve">Read/write/delete on sensitive accounts</w:t>
            </w:r>
          </w:p>
        </w:tc>
        <w:tc>
          <w:tcPr>
            <w:tcW w:type="dxa" w:w="1900"/>
            <w:shd w:fill="F2F2F2" w:val="clear"/>
            <w:tcMar>
              <w:top w:type="dxa" w:w="60"/>
              <w:left w:type="dxa" w:w="100"/>
              <w:bottom w:type="dxa" w:w="60"/>
              <w:right w:type="dxa" w:w="100"/>
            </w:tcMar>
          </w:tcPr>
          <w:p>
            <w:r>
              <w:rPr>
                <w:b w:val="false"/>
                <w:bCs w:val="false"/>
                <w:sz w:val="20"/>
                <w:szCs w:val="20"/>
              </w:rPr>
              <w:t xml:space="preserve">Sentinel</w:t>
            </w:r>
          </w:p>
        </w:tc>
        <w:tc>
          <w:tcPr>
            <w:tcW w:type="dxa" w:w="1100"/>
            <w:shd w:fill="F2F2F2" w:val="clear"/>
            <w:tcMar>
              <w:top w:type="dxa" w:w="60"/>
              <w:left w:type="dxa" w:w="100"/>
              <w:bottom w:type="dxa" w:w="60"/>
              <w:right w:type="dxa" w:w="100"/>
            </w:tcMar>
          </w:tcPr>
          <w:p>
            <w:r>
              <w:rPr>
                <w:b w:val="false"/>
                <w:bCs w:val="false"/>
                <w:sz w:val="20"/>
                <w:szCs w:val="20"/>
              </w:rPr>
              <w:t xml:space="preserve">180d</w:t>
            </w:r>
          </w:p>
        </w:tc>
        <w:tc>
          <w:tcPr>
            <w:tcW w:type="dxa" w:w="1100"/>
            <w:shd w:fill="F2F2F2" w:val="clear"/>
            <w:tcMar>
              <w:top w:type="dxa" w:w="60"/>
              <w:left w:type="dxa" w:w="100"/>
              <w:bottom w:type="dxa" w:w="60"/>
              <w:right w:type="dxa" w:w="100"/>
            </w:tcMar>
          </w:tcPr>
          <w:p>
            <w:r>
              <w:rPr>
                <w:b w:val="false"/>
                <w:bCs w:val="false"/>
                <w:sz w:val="20"/>
                <w:szCs w:val="20"/>
              </w:rPr>
              <w:t xml:space="preserve">To confirm</w:t>
            </w:r>
          </w:p>
        </w:tc>
      </w:tr>
      <w:tr>
        <w:tc>
          <w:tcPr>
            <w:tcW w:type="dxa" w:w="2300"/>
            <w:tcMar>
              <w:top w:type="dxa" w:w="60"/>
              <w:left w:type="dxa" w:w="100"/>
              <w:bottom w:type="dxa" w:w="60"/>
              <w:right w:type="dxa" w:w="100"/>
            </w:tcMar>
          </w:tcPr>
          <w:p>
            <w:r>
              <w:rPr>
                <w:b w:val="false"/>
                <w:bCs w:val="false"/>
                <w:sz w:val="20"/>
                <w:szCs w:val="20"/>
              </w:rPr>
              <w:t xml:space="preserve">Defender for Cloud</w:t>
            </w:r>
          </w:p>
        </w:tc>
        <w:tc>
          <w:tcPr>
            <w:tcW w:type="dxa" w:w="3300"/>
            <w:tcMar>
              <w:top w:type="dxa" w:w="60"/>
              <w:left w:type="dxa" w:w="100"/>
              <w:bottom w:type="dxa" w:w="60"/>
              <w:right w:type="dxa" w:w="100"/>
            </w:tcMar>
          </w:tcPr>
          <w:p>
            <w:r>
              <w:rPr>
                <w:b w:val="false"/>
                <w:bCs w:val="false"/>
                <w:sz w:val="20"/>
                <w:szCs w:val="20"/>
              </w:rPr>
              <w:t xml:space="preserve">Alerts, secure score, assessments</w:t>
            </w:r>
          </w:p>
        </w:tc>
        <w:tc>
          <w:tcPr>
            <w:tcW w:type="dxa" w:w="1900"/>
            <w:tcMar>
              <w:top w:type="dxa" w:w="60"/>
              <w:left w:type="dxa" w:w="100"/>
              <w:bottom w:type="dxa" w:w="60"/>
              <w:right w:type="dxa" w:w="100"/>
            </w:tcMar>
          </w:tcPr>
          <w:p>
            <w:r>
              <w:rPr>
                <w:b w:val="false"/>
                <w:bCs w:val="false"/>
                <w:sz w:val="20"/>
                <w:szCs w:val="20"/>
              </w:rPr>
              <w:t xml:space="preserve">Sentinel + monthly report</w:t>
            </w:r>
          </w:p>
        </w:tc>
        <w:tc>
          <w:tcPr>
            <w:tcW w:type="dxa" w:w="1100"/>
            <w:tcMar>
              <w:top w:type="dxa" w:w="60"/>
              <w:left w:type="dxa" w:w="100"/>
              <w:bottom w:type="dxa" w:w="60"/>
              <w:right w:type="dxa" w:w="100"/>
            </w:tcMar>
          </w:tcPr>
          <w:p>
            <w:r>
              <w:rPr>
                <w:b w:val="false"/>
                <w:bCs w:val="false"/>
                <w:sz w:val="20"/>
                <w:szCs w:val="20"/>
              </w:rPr>
              <w:t xml:space="preserve">1 yr</w:t>
            </w:r>
          </w:p>
        </w:tc>
        <w:tc>
          <w:tcPr>
            <w:tcW w:type="dxa" w:w="1100"/>
            <w:tcMar>
              <w:top w:type="dxa" w:w="60"/>
              <w:left w:type="dxa" w:w="100"/>
              <w:bottom w:type="dxa" w:w="60"/>
              <w:right w:type="dxa" w:w="100"/>
            </w:tcMar>
          </w:tcPr>
          <w:p>
            <w:r>
              <w:rPr>
                <w:b w:val="false"/>
                <w:bCs w:val="false"/>
                <w:sz w:val="20"/>
                <w:szCs w:val="20"/>
              </w:rPr>
              <w:t xml:space="preserve">Live</w:t>
            </w:r>
          </w:p>
        </w:tc>
      </w:tr>
      <w:tr>
        <w:tc>
          <w:tcPr>
            <w:tcW w:type="dxa" w:w="2300"/>
            <w:shd w:fill="F2F2F2" w:val="clear"/>
            <w:tcMar>
              <w:top w:type="dxa" w:w="60"/>
              <w:left w:type="dxa" w:w="100"/>
              <w:bottom w:type="dxa" w:w="60"/>
              <w:right w:type="dxa" w:w="100"/>
            </w:tcMar>
          </w:tcPr>
          <w:p>
            <w:r>
              <w:rPr>
                <w:b w:val="false"/>
                <w:bCs w:val="false"/>
                <w:sz w:val="20"/>
                <w:szCs w:val="20"/>
              </w:rPr>
              <w:t xml:space="preserve">Application logs (app team)</w:t>
            </w:r>
          </w:p>
        </w:tc>
        <w:tc>
          <w:tcPr>
            <w:tcW w:type="dxa" w:w="3300"/>
            <w:shd w:fill="F2F2F2" w:val="clear"/>
            <w:tcMar>
              <w:top w:type="dxa" w:w="60"/>
              <w:left w:type="dxa" w:w="100"/>
              <w:bottom w:type="dxa" w:w="60"/>
              <w:right w:type="dxa" w:w="100"/>
            </w:tcMar>
          </w:tcPr>
          <w:p>
            <w:r>
              <w:rPr>
                <w:b w:val="false"/>
                <w:bCs w:val="false"/>
                <w:sz w:val="20"/>
                <w:szCs w:val="20"/>
              </w:rPr>
              <w:t xml:space="preserve">AuthN/AuthZ events, admin actions, input validation failures</w:t>
            </w:r>
          </w:p>
        </w:tc>
        <w:tc>
          <w:tcPr>
            <w:tcW w:type="dxa" w:w="1900"/>
            <w:shd w:fill="F2F2F2" w:val="clear"/>
            <w:tcMar>
              <w:top w:type="dxa" w:w="60"/>
              <w:left w:type="dxa" w:w="100"/>
              <w:bottom w:type="dxa" w:w="60"/>
              <w:right w:type="dxa" w:w="100"/>
            </w:tcMar>
          </w:tcPr>
          <w:p>
            <w:r>
              <w:rPr>
                <w:b w:val="false"/>
                <w:bCs w:val="false"/>
                <w:sz w:val="20"/>
                <w:szCs w:val="20"/>
              </w:rPr>
              <w:t xml:space="preserve">(consolidate with app team)</w:t>
            </w:r>
          </w:p>
        </w:tc>
        <w:tc>
          <w:tcPr>
            <w:tcW w:type="dxa" w:w="1100"/>
            <w:shd w:fill="F2F2F2" w:val="clear"/>
            <w:tcMar>
              <w:top w:type="dxa" w:w="60"/>
              <w:left w:type="dxa" w:w="100"/>
              <w:bottom w:type="dxa" w:w="60"/>
              <w:right w:type="dxa" w:w="100"/>
            </w:tcMar>
          </w:tcPr>
          <w:p>
            <w:r>
              <w:rPr>
                <w:b w:val="false"/>
                <w:bCs w:val="false"/>
                <w:sz w:val="20"/>
                <w:szCs w:val="20"/>
              </w:rPr>
              <w:t xml:space="preserve">(agree)</w:t>
            </w:r>
          </w:p>
        </w:tc>
        <w:tc>
          <w:tcPr>
            <w:tcW w:type="dxa" w:w="1100"/>
            <w:shd w:fill="F2F2F2" w:val="clear"/>
            <w:tcMar>
              <w:top w:type="dxa" w:w="60"/>
              <w:left w:type="dxa" w:w="100"/>
              <w:bottom w:type="dxa" w:w="60"/>
              <w:right w:type="dxa" w:w="100"/>
            </w:tcMar>
          </w:tcPr>
          <w:p>
            <w:r>
              <w:rPr>
                <w:b w:val="false"/>
                <w:bCs w:val="false"/>
                <w:sz w:val="20"/>
                <w:szCs w:val="20"/>
              </w:rPr>
              <w:t xml:space="preserve">Gap</w:t>
            </w:r>
          </w:p>
        </w:tc>
      </w:tr>
      <w:tr>
        <w:tc>
          <w:tcPr>
            <w:tcW w:type="dxa" w:w="2300"/>
            <w:tcMar>
              <w:top w:type="dxa" w:w="60"/>
              <w:left w:type="dxa" w:w="100"/>
              <w:bottom w:type="dxa" w:w="60"/>
              <w:right w:type="dxa" w:w="100"/>
            </w:tcMar>
          </w:tcPr>
          <w:p>
            <w:r>
              <w:rPr>
                <w:b w:val="false"/>
                <w:bCs w:val="false"/>
                <w:sz w:val="20"/>
                <w:szCs w:val="20"/>
              </w:rPr>
              <w:t xml:space="preserve">Windows/Linux Servers</w:t>
            </w:r>
          </w:p>
        </w:tc>
        <w:tc>
          <w:tcPr>
            <w:tcW w:type="dxa" w:w="3300"/>
            <w:tcMar>
              <w:top w:type="dxa" w:w="60"/>
              <w:left w:type="dxa" w:w="100"/>
              <w:bottom w:type="dxa" w:w="60"/>
              <w:right w:type="dxa" w:w="100"/>
            </w:tcMar>
          </w:tcPr>
          <w:p>
            <w:r>
              <w:rPr>
                <w:b w:val="false"/>
                <w:bCs w:val="false"/>
                <w:sz w:val="20"/>
                <w:szCs w:val="20"/>
              </w:rPr>
              <w:t xml:space="preserve">Security event log / auditd via AMA + DCRs</w:t>
            </w:r>
          </w:p>
        </w:tc>
        <w:tc>
          <w:tcPr>
            <w:tcW w:type="dxa" w:w="1900"/>
            <w:tcMar>
              <w:top w:type="dxa" w:w="60"/>
              <w:left w:type="dxa" w:w="100"/>
              <w:bottom w:type="dxa" w:w="60"/>
              <w:right w:type="dxa" w:w="100"/>
            </w:tcMar>
          </w:tcPr>
          <w:p>
            <w:r>
              <w:rPr>
                <w:b w:val="false"/>
                <w:bCs w:val="false"/>
                <w:sz w:val="20"/>
                <w:szCs w:val="20"/>
              </w:rPr>
              <w:t xml:space="preserve">Sentinel</w:t>
            </w:r>
          </w:p>
        </w:tc>
        <w:tc>
          <w:tcPr>
            <w:tcW w:type="dxa" w:w="1100"/>
            <w:tcMar>
              <w:top w:type="dxa" w:w="60"/>
              <w:left w:type="dxa" w:w="100"/>
              <w:bottom w:type="dxa" w:w="60"/>
              <w:right w:type="dxa" w:w="100"/>
            </w:tcMar>
          </w:tcPr>
          <w:p>
            <w:r>
              <w:rPr>
                <w:b w:val="false"/>
                <w:bCs w:val="false"/>
                <w:sz w:val="20"/>
                <w:szCs w:val="20"/>
              </w:rPr>
              <w:t xml:space="preserve">180d</w:t>
            </w:r>
          </w:p>
        </w:tc>
        <w:tc>
          <w:tcPr>
            <w:tcW w:type="dxa" w:w="1100"/>
            <w:tcMar>
              <w:top w:type="dxa" w:w="60"/>
              <w:left w:type="dxa" w:w="100"/>
              <w:bottom w:type="dxa" w:w="60"/>
              <w:right w:type="dxa" w:w="100"/>
            </w:tcMar>
          </w:tcPr>
          <w:p>
            <w:r>
              <w:rPr>
                <w:b w:val="false"/>
                <w:bCs w:val="false"/>
                <w:sz w:val="20"/>
                <w:szCs w:val="20"/>
              </w:rPr>
              <w:t xml:space="preserve">Partial</w:t>
            </w:r>
          </w:p>
        </w:tc>
      </w:tr>
      <w:tr>
        <w:tc>
          <w:tcPr>
            <w:tcW w:type="dxa" w:w="2300"/>
            <w:shd w:fill="F2F2F2" w:val="clear"/>
            <w:tcMar>
              <w:top w:type="dxa" w:w="60"/>
              <w:left w:type="dxa" w:w="100"/>
              <w:bottom w:type="dxa" w:w="60"/>
              <w:right w:type="dxa" w:w="100"/>
            </w:tcMar>
          </w:tcPr>
          <w:p>
            <w:r>
              <w:rPr>
                <w:b w:val="false"/>
                <w:bCs w:val="false"/>
                <w:sz w:val="20"/>
                <w:szCs w:val="20"/>
              </w:rPr>
              <w:t xml:space="preserve">DevOps (ADO/GitLab)</w:t>
            </w:r>
          </w:p>
        </w:tc>
        <w:tc>
          <w:tcPr>
            <w:tcW w:type="dxa" w:w="3300"/>
            <w:shd w:fill="F2F2F2" w:val="clear"/>
            <w:tcMar>
              <w:top w:type="dxa" w:w="60"/>
              <w:left w:type="dxa" w:w="100"/>
              <w:bottom w:type="dxa" w:w="60"/>
              <w:right w:type="dxa" w:w="100"/>
            </w:tcMar>
          </w:tcPr>
          <w:p>
            <w:r>
              <w:rPr>
                <w:b w:val="false"/>
                <w:bCs w:val="false"/>
                <w:sz w:val="20"/>
                <w:szCs w:val="20"/>
              </w:rPr>
              <w:t xml:space="preserve">Pipeline runs, permission changes, secret access</w:t>
            </w:r>
          </w:p>
        </w:tc>
        <w:tc>
          <w:tcPr>
            <w:tcW w:type="dxa" w:w="1900"/>
            <w:shd w:fill="F2F2F2" w:val="clear"/>
            <w:tcMar>
              <w:top w:type="dxa" w:w="60"/>
              <w:left w:type="dxa" w:w="100"/>
              <w:bottom w:type="dxa" w:w="60"/>
              <w:right w:type="dxa" w:w="100"/>
            </w:tcMar>
          </w:tcPr>
          <w:p>
            <w:r>
              <w:rPr>
                <w:b w:val="false"/>
                <w:bCs w:val="false"/>
                <w:sz w:val="20"/>
                <w:szCs w:val="20"/>
              </w:rPr>
              <w:t xml:space="preserve">Sentinel (roadmap)</w:t>
            </w:r>
          </w:p>
        </w:tc>
        <w:tc>
          <w:tcPr>
            <w:tcW w:type="dxa" w:w="1100"/>
            <w:shd w:fill="F2F2F2" w:val="clear"/>
            <w:tcMar>
              <w:top w:type="dxa" w:w="60"/>
              <w:left w:type="dxa" w:w="100"/>
              <w:bottom w:type="dxa" w:w="60"/>
              <w:right w:type="dxa" w:w="100"/>
            </w:tcMar>
          </w:tcPr>
          <w:p>
            <w:r>
              <w:rPr>
                <w:b w:val="false"/>
                <w:bCs w:val="false"/>
                <w:sz w:val="20"/>
                <w:szCs w:val="20"/>
              </w:rPr>
              <w:t xml:space="preserve">1 yr</w:t>
            </w:r>
          </w:p>
        </w:tc>
        <w:tc>
          <w:tcPr>
            <w:tcW w:type="dxa" w:w="1100"/>
            <w:shd w:fill="F2F2F2" w:val="clear"/>
            <w:tcMar>
              <w:top w:type="dxa" w:w="60"/>
              <w:left w:type="dxa" w:w="100"/>
              <w:bottom w:type="dxa" w:w="60"/>
              <w:right w:type="dxa" w:w="100"/>
            </w:tcMar>
          </w:tcPr>
          <w:p>
            <w:r>
              <w:rPr>
                <w:b w:val="false"/>
                <w:bCs w:val="false"/>
                <w:sz w:val="20"/>
                <w:szCs w:val="20"/>
              </w:rPr>
              <w:t xml:space="preserve">Gap</w:t>
            </w:r>
          </w:p>
        </w:tc>
      </w:tr>
    </w:tbl>
    <w:p>
      <w:r>
        <w:br w:type="page"/>
      </w:r>
    </w:p>
    <w:p>
      <w:pPr>
        <w:pStyle w:val="Heading1"/>
        <w:spacing w:after="160" w:before="360"/>
      </w:pPr>
      <w:r>
        <w:rPr>
          <w:color w:val="1F3864"/>
        </w:rPr>
        <w:t xml:space="preserve">5. Exceptions and Risk Acceptance</w:t>
      </w:r>
    </w:p>
    <w:p>
      <w:pPr>
        <w:spacing w:after="120"/>
      </w:pPr>
      <w:r>
        <w:t xml:space="preserve">Where the gold standard cannot be met due to a business or technology limitation, the deviation is recorded as a formal exception. An accepted risk is a documented decision – the register is the single place we store it, and it is reviewed on the same cadence as this framework.</w:t>
      </w:r>
    </w:p>
    <w:p>
      <w:pPr>
        <w:spacing w:after="120"/>
      </w:pPr>
      <w:r>
        <w:t xml:space="preserve">Every exception record contains:</w:t>
      </w:r>
    </w:p>
    <w:p>
      <w:pPr>
        <w:pStyle w:val="ListParagraph"/>
        <w:numPr>
          <w:ilvl w:val="0"/>
          <w:numId w:val="2"/>
        </w:numPr>
        <w:spacing w:after="60"/>
      </w:pPr>
      <w:r>
        <w:t xml:space="preserve">What the standard requires, and what the actual state is (e.g. TLS 1.3 standard; travel front-end service on TLS 1.2).</w:t>
      </w:r>
    </w:p>
    <w:p>
      <w:pPr>
        <w:pStyle w:val="ListParagraph"/>
        <w:numPr>
          <w:ilvl w:val="0"/>
          <w:numId w:val="2"/>
        </w:numPr>
        <w:spacing w:after="60"/>
      </w:pPr>
      <w:r>
        <w:t xml:space="preserve">Why: the business or technology limitation.</w:t>
      </w:r>
    </w:p>
    <w:p>
      <w:pPr>
        <w:pStyle w:val="ListParagraph"/>
        <w:numPr>
          <w:ilvl w:val="0"/>
          <w:numId w:val="2"/>
        </w:numPr>
        <w:spacing w:after="60"/>
      </w:pPr>
      <w:r>
        <w:t xml:space="preserve">Compensating controls in place.</w:t>
      </w:r>
    </w:p>
    <w:p>
      <w:pPr>
        <w:pStyle w:val="ListParagraph"/>
        <w:numPr>
          <w:ilvl w:val="0"/>
          <w:numId w:val="2"/>
        </w:numPr>
        <w:spacing w:after="60"/>
      </w:pPr>
      <w:r>
        <w:t xml:space="preserve">Risk owner (accountable individual) and the approver who signed off the acceptance.</w:t>
      </w:r>
    </w:p>
    <w:p>
      <w:pPr>
        <w:pStyle w:val="ListParagraph"/>
        <w:numPr>
          <w:ilvl w:val="0"/>
          <w:numId w:val="2"/>
        </w:numPr>
        <w:spacing w:after="60"/>
      </w:pPr>
      <w:r>
        <w:t xml:space="preserve">Review date – exceptions expire; they are renewed deliberately or remediated.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1900"/>
        <w:gridCol w:w="1700"/>
        <w:gridCol w:w="1900"/>
        <w:gridCol w:w="800"/>
        <w:gridCol w:w="900"/>
      </w:tblGrid>
      <w:tr>
        <w:trPr>
          <w:tblHeader/>
        </w:trPr>
        <w:tc>
          <w:tcPr>
            <w:tcW w:type="dxa" w:w="700"/>
            <w:shd w:fill="1F3864" w:val="clear"/>
            <w:tcMar>
              <w:top w:type="dxa" w:w="60"/>
              <w:left w:type="dxa" w:w="100"/>
              <w:bottom w:type="dxa" w:w="60"/>
              <w:right w:type="dxa" w:w="100"/>
            </w:tcMar>
          </w:tcPr>
          <w:p>
            <w:r>
              <w:rPr>
                <w:b/>
                <w:bCs/>
                <w:color w:val="FFFFFF"/>
                <w:sz w:val="20"/>
                <w:szCs w:val="20"/>
              </w:rPr>
              <w:t xml:space="preserve">ID</w:t>
            </w:r>
          </w:p>
        </w:tc>
        <w:tc>
          <w:tcPr>
            <w:tcW w:type="dxa" w:w="2100"/>
            <w:shd w:fill="1F3864" w:val="clear"/>
            <w:tcMar>
              <w:top w:type="dxa" w:w="60"/>
              <w:left w:type="dxa" w:w="100"/>
              <w:bottom w:type="dxa" w:w="60"/>
              <w:right w:type="dxa" w:w="100"/>
            </w:tcMar>
          </w:tcPr>
          <w:p>
            <w:r>
              <w:rPr>
                <w:b/>
                <w:bCs/>
                <w:color w:val="FFFFFF"/>
                <w:sz w:val="20"/>
                <w:szCs w:val="20"/>
              </w:rPr>
              <w:t xml:space="preserve">Standard / Control</w:t>
            </w:r>
          </w:p>
        </w:tc>
        <w:tc>
          <w:tcPr>
            <w:tcW w:type="dxa" w:w="1900"/>
            <w:shd w:fill="1F3864" w:val="clear"/>
            <w:tcMar>
              <w:top w:type="dxa" w:w="60"/>
              <w:left w:type="dxa" w:w="100"/>
              <w:bottom w:type="dxa" w:w="60"/>
              <w:right w:type="dxa" w:w="100"/>
            </w:tcMar>
          </w:tcPr>
          <w:p>
            <w:r>
              <w:rPr>
                <w:b/>
                <w:bCs/>
                <w:color w:val="FFFFFF"/>
                <w:sz w:val="20"/>
                <w:szCs w:val="20"/>
              </w:rPr>
              <w:t xml:space="preserve">Deviation</w:t>
            </w:r>
          </w:p>
        </w:tc>
        <w:tc>
          <w:tcPr>
            <w:tcW w:type="dxa" w:w="1700"/>
            <w:shd w:fill="1F3864" w:val="clear"/>
            <w:tcMar>
              <w:top w:type="dxa" w:w="60"/>
              <w:left w:type="dxa" w:w="100"/>
              <w:bottom w:type="dxa" w:w="60"/>
              <w:right w:type="dxa" w:w="100"/>
            </w:tcMar>
          </w:tcPr>
          <w:p>
            <w:r>
              <w:rPr>
                <w:b/>
                <w:bCs/>
                <w:color w:val="FFFFFF"/>
                <w:sz w:val="20"/>
                <w:szCs w:val="20"/>
              </w:rPr>
              <w:t xml:space="preserve">Justification</w:t>
            </w:r>
          </w:p>
        </w:tc>
        <w:tc>
          <w:tcPr>
            <w:tcW w:type="dxa" w:w="1900"/>
            <w:shd w:fill="1F3864" w:val="clear"/>
            <w:tcMar>
              <w:top w:type="dxa" w:w="60"/>
              <w:left w:type="dxa" w:w="100"/>
              <w:bottom w:type="dxa" w:w="60"/>
              <w:right w:type="dxa" w:w="100"/>
            </w:tcMar>
          </w:tcPr>
          <w:p>
            <w:r>
              <w:rPr>
                <w:b/>
                <w:bCs/>
                <w:color w:val="FFFFFF"/>
                <w:sz w:val="20"/>
                <w:szCs w:val="20"/>
              </w:rPr>
              <w:t xml:space="preserve">Compensating controls</w:t>
            </w:r>
          </w:p>
        </w:tc>
        <w:tc>
          <w:tcPr>
            <w:tcW w:type="dxa" w:w="800"/>
            <w:shd w:fill="1F3864" w:val="clear"/>
            <w:tcMar>
              <w:top w:type="dxa" w:w="60"/>
              <w:left w:type="dxa" w:w="100"/>
              <w:bottom w:type="dxa" w:w="60"/>
              <w:right w:type="dxa" w:w="100"/>
            </w:tcMar>
          </w:tcPr>
          <w:p>
            <w:r>
              <w:rPr>
                <w:b/>
                <w:bCs/>
                <w:color w:val="FFFFFF"/>
                <w:sz w:val="20"/>
                <w:szCs w:val="20"/>
              </w:rPr>
              <w:t xml:space="preserve">Owner</w:t>
            </w:r>
          </w:p>
        </w:tc>
        <w:tc>
          <w:tcPr>
            <w:tcW w:type="dxa" w:w="900"/>
            <w:shd w:fill="1F3864" w:val="clear"/>
            <w:tcMar>
              <w:top w:type="dxa" w:w="60"/>
              <w:left w:type="dxa" w:w="100"/>
              <w:bottom w:type="dxa" w:w="60"/>
              <w:right w:type="dxa" w:w="100"/>
            </w:tcMar>
          </w:tcPr>
          <w:p>
            <w:r>
              <w:rPr>
                <w:b/>
                <w:bCs/>
                <w:color w:val="FFFFFF"/>
                <w:sz w:val="20"/>
                <w:szCs w:val="20"/>
              </w:rPr>
              <w:t xml:space="preserve">Review date</w:t>
            </w:r>
          </w:p>
        </w:tc>
      </w:tr>
      <w:tr>
        <w:tc>
          <w:tcPr>
            <w:tcW w:type="dxa" w:w="700"/>
            <w:tcMar>
              <w:top w:type="dxa" w:w="60"/>
              <w:left w:type="dxa" w:w="100"/>
              <w:bottom w:type="dxa" w:w="60"/>
              <w:right w:type="dxa" w:w="100"/>
            </w:tcMar>
          </w:tcPr>
          <w:p>
            <w:r>
              <w:rPr>
                <w:b w:val="false"/>
                <w:bCs w:val="false"/>
                <w:sz w:val="20"/>
                <w:szCs w:val="20"/>
              </w:rPr>
              <w:t xml:space="preserve">EX-001</w:t>
            </w:r>
          </w:p>
        </w:tc>
        <w:tc>
          <w:tcPr>
            <w:tcW w:type="dxa" w:w="2100"/>
            <w:tcMar>
              <w:top w:type="dxa" w:w="60"/>
              <w:left w:type="dxa" w:w="100"/>
              <w:bottom w:type="dxa" w:w="60"/>
              <w:right w:type="dxa" w:w="100"/>
            </w:tcMar>
          </w:tcPr>
          <w:p>
            <w:r>
              <w:rPr>
                <w:b w:val="false"/>
                <w:bCs w:val="false"/>
                <w:sz w:val="20"/>
                <w:szCs w:val="20"/>
              </w:rPr>
              <w:t xml:space="preserve">DP: TLS 1.3 in transit</w:t>
            </w:r>
          </w:p>
        </w:tc>
        <w:tc>
          <w:tcPr>
            <w:tcW w:type="dxa" w:w="1900"/>
            <w:tcMar>
              <w:top w:type="dxa" w:w="60"/>
              <w:left w:type="dxa" w:w="100"/>
              <w:bottom w:type="dxa" w:w="60"/>
              <w:right w:type="dxa" w:w="100"/>
            </w:tcMar>
          </w:tcPr>
          <w:p>
            <w:r>
              <w:rPr>
                <w:b w:val="false"/>
                <w:bCs w:val="false"/>
                <w:sz w:val="20"/>
                <w:szCs w:val="20"/>
              </w:rPr>
              <w:t xml:space="preserve">Travel business front-end on TLS 1.2</w:t>
            </w:r>
          </w:p>
        </w:tc>
        <w:tc>
          <w:tcPr>
            <w:tcW w:type="dxa" w:w="1700"/>
            <w:tcMar>
              <w:top w:type="dxa" w:w="60"/>
              <w:left w:type="dxa" w:w="100"/>
              <w:bottom w:type="dxa" w:w="60"/>
              <w:right w:type="dxa" w:w="100"/>
            </w:tcMar>
          </w:tcPr>
          <w:p>
            <w:r>
              <w:rPr>
                <w:b w:val="false"/>
                <w:bCs w:val="false"/>
                <w:sz w:val="20"/>
                <w:szCs w:val="20"/>
              </w:rPr>
              <w:t xml:space="preserve">Technology-stack limitation</w:t>
            </w:r>
          </w:p>
        </w:tc>
        <w:tc>
          <w:tcPr>
            <w:tcW w:type="dxa" w:w="1900"/>
            <w:tcMar>
              <w:top w:type="dxa" w:w="60"/>
              <w:left w:type="dxa" w:w="100"/>
              <w:bottom w:type="dxa" w:w="60"/>
              <w:right w:type="dxa" w:w="100"/>
            </w:tcMar>
          </w:tcPr>
          <w:p>
            <w:r>
              <w:rPr>
                <w:b w:val="false"/>
                <w:bCs w:val="false"/>
                <w:sz w:val="20"/>
                <w:szCs w:val="20"/>
              </w:rPr>
              <w:t xml:space="preserve">TLS 1.2 with strong ciphers only; WAF in front</w:t>
            </w:r>
          </w:p>
        </w:tc>
        <w:tc>
          <w:tcPr>
            <w:tcW w:type="dxa" w:w="800"/>
            <w:tcMar>
              <w:top w:type="dxa" w:w="60"/>
              <w:left w:type="dxa" w:w="100"/>
              <w:bottom w:type="dxa" w:w="60"/>
              <w:right w:type="dxa" w:w="100"/>
            </w:tcMar>
          </w:tcPr>
          <w:p>
            <w:r>
              <w:rPr>
                <w:b w:val="false"/>
                <w:bCs w:val="false"/>
                <w:sz w:val="20"/>
                <w:szCs w:val="20"/>
              </w:rPr>
              <w:t xml:space="preserve">(assign)</w:t>
            </w:r>
          </w:p>
        </w:tc>
        <w:tc>
          <w:tcPr>
            <w:tcW w:type="dxa" w:w="900"/>
            <w:tcMar>
              <w:top w:type="dxa" w:w="60"/>
              <w:left w:type="dxa" w:w="100"/>
              <w:bottom w:type="dxa" w:w="60"/>
              <w:right w:type="dxa" w:w="100"/>
            </w:tcMar>
          </w:tcPr>
          <w:p>
            <w:r>
              <w:rPr>
                <w:b w:val="false"/>
                <w:bCs w:val="false"/>
                <w:sz w:val="20"/>
                <w:szCs w:val="20"/>
              </w:rPr>
              <w:t xml:space="preserve">(quarterly)</w:t>
            </w:r>
          </w:p>
        </w:tc>
      </w:tr>
      <w:tr>
        <w:tc>
          <w:tcPr>
            <w:tcW w:type="dxa" w:w="700"/>
            <w:shd w:fill="F2F2F2" w:val="clear"/>
            <w:tcMar>
              <w:top w:type="dxa" w:w="60"/>
              <w:left w:type="dxa" w:w="100"/>
              <w:bottom w:type="dxa" w:w="60"/>
              <w:right w:type="dxa" w:w="100"/>
            </w:tcMar>
          </w:tcPr>
          <w:p>
            <w:r>
              <w:rPr>
                <w:b w:val="false"/>
                <w:bCs w:val="false"/>
                <w:sz w:val="20"/>
                <w:szCs w:val="20"/>
              </w:rPr>
              <w:t xml:space="preserve">EX-002</w:t>
            </w:r>
          </w:p>
        </w:tc>
        <w:tc>
          <w:tcPr>
            <w:tcW w:type="dxa" w:w="2100"/>
            <w:shd w:fill="F2F2F2" w:val="clear"/>
            <w:tcMar>
              <w:top w:type="dxa" w:w="60"/>
              <w:left w:type="dxa" w:w="100"/>
              <w:bottom w:type="dxa" w:w="60"/>
              <w:right w:type="dxa" w:w="100"/>
            </w:tcMar>
          </w:tcPr>
          <w:p>
            <w:r>
              <w:rPr>
                <w:b w:val="false"/>
                <w:bCs w:val="false"/>
                <w:sz w:val="20"/>
                <w:szCs w:val="20"/>
              </w:rPr>
              <w:t xml:space="preserve">NS: No public access on Azure SQL</w:t>
            </w:r>
          </w:p>
        </w:tc>
        <w:tc>
          <w:tcPr>
            <w:tcW w:type="dxa" w:w="1900"/>
            <w:shd w:fill="F2F2F2" w:val="clear"/>
            <w:tcMar>
              <w:top w:type="dxa" w:w="60"/>
              <w:left w:type="dxa" w:w="100"/>
              <w:bottom w:type="dxa" w:w="60"/>
              <w:right w:type="dxa" w:w="100"/>
            </w:tcMar>
          </w:tcPr>
          <w:p>
            <w:r>
              <w:rPr>
                <w:b w:val="false"/>
                <w:bCs w:val="false"/>
                <w:sz w:val="20"/>
                <w:szCs w:val="20"/>
              </w:rPr>
              <w:t xml:space="preserve">(example placeholder)</w:t>
            </w:r>
          </w:p>
        </w:tc>
        <w:tc>
          <w:tcPr>
            <w:tcW w:type="dxa" w:w="1700"/>
            <w:shd w:fill="F2F2F2" w:val="clear"/>
            <w:tcMar>
              <w:top w:type="dxa" w:w="60"/>
              <w:left w:type="dxa" w:w="100"/>
              <w:bottom w:type="dxa" w:w="60"/>
              <w:right w:type="dxa" w:w="100"/>
            </w:tcMar>
          </w:tcPr>
          <w:p>
            <w:r>
              <w:rPr>
                <w:b w:val="false"/>
                <w:bCs w:val="false"/>
                <w:sz w:val="20"/>
                <w:szCs w:val="20"/>
              </w:rPr>
              <w:t xml:space="preserve">(pending triage of 31 findings)</w:t>
            </w:r>
          </w:p>
        </w:tc>
        <w:tc>
          <w:tcPr>
            <w:tcW w:type="dxa" w:w="1900"/>
            <w:shd w:fill="F2F2F2" w:val="clear"/>
            <w:tcMar>
              <w:top w:type="dxa" w:w="60"/>
              <w:left w:type="dxa" w:w="100"/>
              <w:bottom w:type="dxa" w:w="60"/>
              <w:right w:type="dxa" w:w="100"/>
            </w:tcMar>
          </w:tcPr>
          <w:p>
            <w:r>
              <w:rPr>
                <w:b w:val="false"/>
                <w:bCs w:val="false"/>
                <w:sz w:val="20"/>
                <w:szCs w:val="20"/>
              </w:rPr>
              <w:t xml:space="preserve">Firewall IP rules; auditing enabled</w:t>
            </w:r>
          </w:p>
        </w:tc>
        <w:tc>
          <w:tcPr>
            <w:tcW w:type="dxa" w:w="800"/>
            <w:shd w:fill="F2F2F2" w:val="clear"/>
            <w:tcMar>
              <w:top w:type="dxa" w:w="60"/>
              <w:left w:type="dxa" w:w="100"/>
              <w:bottom w:type="dxa" w:w="60"/>
              <w:right w:type="dxa" w:w="100"/>
            </w:tcMar>
          </w:tcPr>
          <w:p>
            <w:r>
              <w:rPr>
                <w:b w:val="false"/>
                <w:bCs w:val="false"/>
                <w:sz w:val="20"/>
                <w:szCs w:val="20"/>
              </w:rPr>
              <w:t xml:space="preserve">(assign)</w:t>
            </w:r>
          </w:p>
        </w:tc>
        <w:tc>
          <w:tcPr>
            <w:tcW w:type="dxa" w:w="900"/>
            <w:shd w:fill="F2F2F2" w:val="clear"/>
            <w:tcMar>
              <w:top w:type="dxa" w:w="60"/>
              <w:left w:type="dxa" w:w="100"/>
              <w:bottom w:type="dxa" w:w="60"/>
              <w:right w:type="dxa" w:w="100"/>
            </w:tcMar>
          </w:tcPr>
          <w:p>
            <w:r>
              <w:rPr>
                <w:b w:val="false"/>
                <w:bCs w:val="false"/>
                <w:sz w:val="20"/>
                <w:szCs w:val="20"/>
              </w:rPr>
              <w:t xml:space="preserve">(quarterly)</w:t>
            </w:r>
          </w:p>
        </w:tc>
      </w:tr>
    </w:tbl>
    <w:p>
      <w:pPr>
        <w:spacing w:before="160"/>
      </w:pPr>
    </w:p>
    <w:p>
      <w:pPr>
        <w:pStyle w:val="Heading1"/>
        <w:spacing w:after="160" w:before="360"/>
      </w:pPr>
      <w:r>
        <w:rPr>
          <w:color w:val="1F3864"/>
        </w:rPr>
        <w:t xml:space="preserve">6. Governance: Ownership, Sign-off and Review</w:t>
      </w:r>
    </w:p>
    <w:p>
      <w:pPr>
        <w:spacing w:after="120"/>
      </w:pPr>
      <w:r>
        <w:t xml:space="preserve">This is one document for everything security-related in the cloud. To stay authoritative it needs clear ownership, formal sign-off and a fixed review rhythm.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rPr>
          <w:tblHeader/>
        </w:trPr>
        <w:tc>
          <w:tcPr>
            <w:tcW w:type="dxa" w:w="2400"/>
            <w:shd w:fill="1F3864" w:val="clear"/>
            <w:tcMar>
              <w:top w:type="dxa" w:w="60"/>
              <w:left w:type="dxa" w:w="100"/>
              <w:bottom w:type="dxa" w:w="60"/>
              <w:right w:type="dxa" w:w="100"/>
            </w:tcMar>
          </w:tcPr>
          <w:p>
            <w:r>
              <w:rPr>
                <w:b/>
                <w:bCs/>
                <w:color w:val="FFFFFF"/>
                <w:sz w:val="20"/>
                <w:szCs w:val="20"/>
              </w:rPr>
              <w:t xml:space="preserve">Aspect</w:t>
            </w:r>
          </w:p>
        </w:tc>
        <w:tc>
          <w:tcPr>
            <w:tcW w:type="dxa" w:w="7300"/>
            <w:shd w:fill="1F3864" w:val="clear"/>
            <w:tcMar>
              <w:top w:type="dxa" w:w="60"/>
              <w:left w:type="dxa" w:w="100"/>
              <w:bottom w:type="dxa" w:w="60"/>
              <w:right w:type="dxa" w:w="100"/>
            </w:tcMar>
          </w:tcPr>
          <w:p>
            <w:r>
              <w:rPr>
                <w:b/>
                <w:bCs/>
                <w:color w:val="FFFFFF"/>
                <w:sz w:val="20"/>
                <w:szCs w:val="20"/>
              </w:rPr>
              <w:t xml:space="preserve">Standard</w:t>
            </w:r>
          </w:p>
        </w:tc>
      </w:tr>
      <w:tr>
        <w:tc>
          <w:tcPr>
            <w:tcW w:type="dxa" w:w="2400"/>
            <w:tcMar>
              <w:top w:type="dxa" w:w="60"/>
              <w:left w:type="dxa" w:w="100"/>
              <w:bottom w:type="dxa" w:w="60"/>
              <w:right w:type="dxa" w:w="100"/>
            </w:tcMar>
          </w:tcPr>
          <w:p>
            <w:r>
              <w:rPr>
                <w:b w:val="false"/>
                <w:bCs w:val="false"/>
                <w:sz w:val="20"/>
                <w:szCs w:val="20"/>
              </w:rPr>
              <w:t xml:space="preserve">Document owner</w:t>
            </w:r>
          </w:p>
        </w:tc>
        <w:tc>
          <w:tcPr>
            <w:tcW w:type="dxa" w:w="7300"/>
            <w:tcMar>
              <w:top w:type="dxa" w:w="60"/>
              <w:left w:type="dxa" w:w="100"/>
              <w:bottom w:type="dxa" w:w="60"/>
              <w:right w:type="dxa" w:w="100"/>
            </w:tcMar>
          </w:tcPr>
          <w:p>
            <w:r>
              <w:rPr>
                <w:b w:val="false"/>
                <w:bCs w:val="false"/>
                <w:sz w:val="20"/>
                <w:szCs w:val="20"/>
              </w:rPr>
              <w:t xml:space="preserve">Cloud Operations / Security (author maintains; accountable manager owns)</w:t>
            </w:r>
          </w:p>
        </w:tc>
      </w:tr>
      <w:tr>
        <w:tc>
          <w:tcPr>
            <w:tcW w:type="dxa" w:w="2400"/>
            <w:shd w:fill="F2F2F2" w:val="clear"/>
            <w:tcMar>
              <w:top w:type="dxa" w:w="60"/>
              <w:left w:type="dxa" w:w="100"/>
              <w:bottom w:type="dxa" w:w="60"/>
              <w:right w:type="dxa" w:w="100"/>
            </w:tcMar>
          </w:tcPr>
          <w:p>
            <w:r>
              <w:rPr>
                <w:b w:val="false"/>
                <w:bCs w:val="false"/>
                <w:sz w:val="20"/>
                <w:szCs w:val="20"/>
              </w:rPr>
              <w:t xml:space="preserve">Sign-off</w:t>
            </w:r>
          </w:p>
        </w:tc>
        <w:tc>
          <w:tcPr>
            <w:tcW w:type="dxa" w:w="7300"/>
            <w:shd w:fill="F2F2F2" w:val="clear"/>
            <w:tcMar>
              <w:top w:type="dxa" w:w="60"/>
              <w:left w:type="dxa" w:w="100"/>
              <w:bottom w:type="dxa" w:w="60"/>
              <w:right w:type="dxa" w:w="100"/>
            </w:tcMar>
          </w:tcPr>
          <w:p>
            <w:r>
              <w:rPr>
                <w:b w:val="false"/>
                <w:bCs w:val="false"/>
                <w:sz w:val="20"/>
                <w:szCs w:val="20"/>
              </w:rPr>
              <w:t xml:space="preserve">IT/Business leadership (ITBS) approves each version; application team and infrastructure team formally review before sign-off</w:t>
            </w:r>
          </w:p>
        </w:tc>
      </w:tr>
      <w:tr>
        <w:tc>
          <w:tcPr>
            <w:tcW w:type="dxa" w:w="2400"/>
            <w:tcMar>
              <w:top w:type="dxa" w:w="60"/>
              <w:left w:type="dxa" w:w="100"/>
              <w:bottom w:type="dxa" w:w="60"/>
              <w:right w:type="dxa" w:w="100"/>
            </w:tcMar>
          </w:tcPr>
          <w:p>
            <w:r>
              <w:rPr>
                <w:b w:val="false"/>
                <w:bCs w:val="false"/>
                <w:sz w:val="20"/>
                <w:szCs w:val="20"/>
              </w:rPr>
              <w:t xml:space="preserve">Circulation</w:t>
            </w:r>
          </w:p>
        </w:tc>
        <w:tc>
          <w:tcPr>
            <w:tcW w:type="dxa" w:w="7300"/>
            <w:tcMar>
              <w:top w:type="dxa" w:w="60"/>
              <w:left w:type="dxa" w:w="100"/>
              <w:bottom w:type="dxa" w:w="60"/>
              <w:right w:type="dxa" w:w="100"/>
            </w:tcMar>
          </w:tcPr>
          <w:p>
            <w:r>
              <w:rPr>
                <w:b w:val="false"/>
                <w:bCs w:val="false"/>
                <w:sz w:val="20"/>
                <w:szCs w:val="20"/>
              </w:rPr>
              <w:t xml:space="preserve">Published to a single known location; referenced from onboarding and change processes</w:t>
            </w:r>
          </w:p>
        </w:tc>
      </w:tr>
      <w:tr>
        <w:tc>
          <w:tcPr>
            <w:tcW w:type="dxa" w:w="2400"/>
            <w:shd w:fill="F2F2F2" w:val="clear"/>
            <w:tcMar>
              <w:top w:type="dxa" w:w="60"/>
              <w:left w:type="dxa" w:w="100"/>
              <w:bottom w:type="dxa" w:w="60"/>
              <w:right w:type="dxa" w:w="100"/>
            </w:tcMar>
          </w:tcPr>
          <w:p>
            <w:r>
              <w:rPr>
                <w:b w:val="false"/>
                <w:bCs w:val="false"/>
                <w:sz w:val="20"/>
                <w:szCs w:val="20"/>
              </w:rPr>
              <w:t xml:space="preserve">Review period</w:t>
            </w:r>
          </w:p>
        </w:tc>
        <w:tc>
          <w:tcPr>
            <w:tcW w:type="dxa" w:w="7300"/>
            <w:shd w:fill="F2F2F2" w:val="clear"/>
            <w:tcMar>
              <w:top w:type="dxa" w:w="60"/>
              <w:left w:type="dxa" w:w="100"/>
              <w:bottom w:type="dxa" w:w="60"/>
              <w:right w:type="dxa" w:w="100"/>
            </w:tcMar>
          </w:tcPr>
          <w:p>
            <w:r>
              <w:rPr>
                <w:b w:val="false"/>
                <w:bCs w:val="false"/>
                <w:sz w:val="20"/>
                <w:szCs w:val="20"/>
              </w:rPr>
              <w:t xml:space="preserve">Quarterly review of the full document; exceptions reviewed at the same cadence; ad-hoc updates when standards or the estate change materially</w:t>
            </w:r>
          </w:p>
        </w:tc>
      </w:tr>
      <w:tr>
        <w:tc>
          <w:tcPr>
            <w:tcW w:type="dxa" w:w="2400"/>
            <w:tcMar>
              <w:top w:type="dxa" w:w="60"/>
              <w:left w:type="dxa" w:w="100"/>
              <w:bottom w:type="dxa" w:w="60"/>
              <w:right w:type="dxa" w:w="100"/>
            </w:tcMar>
          </w:tcPr>
          <w:p>
            <w:r>
              <w:rPr>
                <w:b w:val="false"/>
                <w:bCs w:val="false"/>
                <w:sz w:val="20"/>
                <w:szCs w:val="20"/>
              </w:rPr>
              <w:t xml:space="preserve">Measurement</w:t>
            </w:r>
          </w:p>
        </w:tc>
        <w:tc>
          <w:tcPr>
            <w:tcW w:type="dxa" w:w="7300"/>
            <w:tcMar>
              <w:top w:type="dxa" w:w="60"/>
              <w:left w:type="dxa" w:w="100"/>
              <w:bottom w:type="dxa" w:w="60"/>
              <w:right w:type="dxa" w:w="100"/>
            </w:tcMar>
          </w:tcPr>
          <w:p>
            <w:r>
              <w:rPr>
                <w:b w:val="false"/>
                <w:bCs w:val="false"/>
                <w:sz w:val="20"/>
                <w:szCs w:val="20"/>
              </w:rPr>
              <w:t xml:space="preserve">Defender for Cloud (MCSB v2) + Wiz measured against this framework; gaps reported in the monthly posture report</w:t>
            </w:r>
          </w:p>
        </w:tc>
      </w:tr>
      <w:tr>
        <w:tc>
          <w:tcPr>
            <w:tcW w:type="dxa" w:w="2400"/>
            <w:shd w:fill="F2F2F2" w:val="clear"/>
            <w:tcMar>
              <w:top w:type="dxa" w:w="60"/>
              <w:left w:type="dxa" w:w="100"/>
              <w:bottom w:type="dxa" w:w="60"/>
              <w:right w:type="dxa" w:w="100"/>
            </w:tcMar>
          </w:tcPr>
          <w:p>
            <w:r>
              <w:rPr>
                <w:b w:val="false"/>
                <w:bCs w:val="false"/>
                <w:sz w:val="20"/>
                <w:szCs w:val="20"/>
              </w:rPr>
              <w:t xml:space="preserve">Change log</w:t>
            </w:r>
          </w:p>
        </w:tc>
        <w:tc>
          <w:tcPr>
            <w:tcW w:type="dxa" w:w="7300"/>
            <w:shd w:fill="F2F2F2" w:val="clear"/>
            <w:tcMar>
              <w:top w:type="dxa" w:w="60"/>
              <w:left w:type="dxa" w:w="100"/>
              <w:bottom w:type="dxa" w:w="60"/>
              <w:right w:type="dxa" w:w="100"/>
            </w:tcMar>
          </w:tcPr>
          <w:p>
            <w:r>
              <w:rPr>
                <w:b w:val="false"/>
                <w:bCs w:val="false"/>
                <w:sz w:val="20"/>
                <w:szCs w:val="20"/>
              </w:rPr>
              <w:t xml:space="preserve">Every version records what changed, who approved, and the next review date</w:t>
            </w:r>
          </w:p>
        </w:tc>
      </w:tr>
    </w:tbl>
    <w:p>
      <w:r>
        <w:br w:type="page"/>
      </w:r>
    </w:p>
    <w:p>
      <w:pPr>
        <w:pStyle w:val="Heading1"/>
        <w:spacing w:after="160" w:before="360"/>
      </w:pPr>
      <w:r>
        <w:rPr>
          <w:color w:val="1F3864"/>
        </w:rPr>
        <w:t xml:space="preserve">7. Current Posture Snapshot and Priority Gaps</w:t>
      </w:r>
    </w:p>
    <w:p>
      <w:pPr>
        <w:spacing w:after="120"/>
      </w:pPr>
      <w:r>
        <w:t xml:space="preserve">The point of the framework is to measure against it and ask: where are the gaps? The snapshot below reflects the current top CSPM findings and how each maps to a framework domain. These are the first candidates for ring-based remediation or formal exception.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2200"/>
        <w:gridCol w:w="2000"/>
      </w:tblGrid>
      <w:tr>
        <w:trPr>
          <w:tblHeader/>
        </w:trPr>
        <w:tc>
          <w:tcPr>
            <w:tcW w:type="dxa" w:w="4200"/>
            <w:shd w:fill="1F3864" w:val="clear"/>
            <w:tcMar>
              <w:top w:type="dxa" w:w="60"/>
              <w:left w:type="dxa" w:w="100"/>
              <w:bottom w:type="dxa" w:w="60"/>
              <w:right w:type="dxa" w:w="100"/>
            </w:tcMar>
          </w:tcPr>
          <w:p>
            <w:r>
              <w:rPr>
                <w:b/>
                <w:bCs/>
                <w:color w:val="FFFFFF"/>
                <w:sz w:val="20"/>
                <w:szCs w:val="20"/>
              </w:rPr>
              <w:t xml:space="preserve">Finding</w:t>
            </w:r>
          </w:p>
        </w:tc>
        <w:tc>
          <w:tcPr>
            <w:tcW w:type="dxa" w:w="1300"/>
            <w:shd w:fill="1F3864" w:val="clear"/>
            <w:tcMar>
              <w:top w:type="dxa" w:w="60"/>
              <w:left w:type="dxa" w:w="100"/>
              <w:bottom w:type="dxa" w:w="60"/>
              <w:right w:type="dxa" w:w="100"/>
            </w:tcMar>
          </w:tcPr>
          <w:p>
            <w:r>
              <w:rPr>
                <w:b/>
                <w:bCs/>
                <w:color w:val="FFFFFF"/>
                <w:sz w:val="20"/>
                <w:szCs w:val="20"/>
              </w:rPr>
              <w:t xml:space="preserve">Affected resources</w:t>
            </w:r>
          </w:p>
        </w:tc>
        <w:tc>
          <w:tcPr>
            <w:tcW w:type="dxa" w:w="2200"/>
            <w:shd w:fill="1F3864" w:val="clear"/>
            <w:tcMar>
              <w:top w:type="dxa" w:w="60"/>
              <w:left w:type="dxa" w:w="100"/>
              <w:bottom w:type="dxa" w:w="60"/>
              <w:right w:type="dxa" w:w="100"/>
            </w:tcMar>
          </w:tcPr>
          <w:p>
            <w:r>
              <w:rPr>
                <w:b/>
                <w:bCs/>
                <w:color w:val="FFFFFF"/>
                <w:sz w:val="20"/>
                <w:szCs w:val="20"/>
              </w:rPr>
              <w:t xml:space="preserve">Framework domain</w:t>
            </w:r>
          </w:p>
        </w:tc>
        <w:tc>
          <w:tcPr>
            <w:tcW w:type="dxa" w:w="2000"/>
            <w:shd w:fill="1F3864" w:val="clear"/>
            <w:tcMar>
              <w:top w:type="dxa" w:w="60"/>
              <w:left w:type="dxa" w:w="100"/>
              <w:bottom w:type="dxa" w:w="60"/>
              <w:right w:type="dxa" w:w="100"/>
            </w:tcMar>
          </w:tcPr>
          <w:p>
            <w:r>
              <w:rPr>
                <w:b/>
                <w:bCs/>
                <w:color w:val="FFFFFF"/>
                <w:sz w:val="20"/>
                <w:szCs w:val="20"/>
              </w:rPr>
              <w:t xml:space="preserve">Direction</w:t>
            </w:r>
          </w:p>
        </w:tc>
      </w:tr>
      <w:tr>
        <w:tc>
          <w:tcPr>
            <w:tcW w:type="dxa" w:w="4200"/>
            <w:tcMar>
              <w:top w:type="dxa" w:w="60"/>
              <w:left w:type="dxa" w:w="100"/>
              <w:bottom w:type="dxa" w:w="60"/>
              <w:right w:type="dxa" w:w="100"/>
            </w:tcMar>
          </w:tcPr>
          <w:p>
            <w:r>
              <w:rPr>
                <w:b w:val="false"/>
                <w:bCs w:val="false"/>
                <w:sz w:val="20"/>
                <w:szCs w:val="20"/>
              </w:rPr>
              <w:t xml:space="preserve">Kubernetes clusters should disable automounting API credentials</w:t>
            </w:r>
          </w:p>
        </w:tc>
        <w:tc>
          <w:tcPr>
            <w:tcW w:type="dxa" w:w="1300"/>
            <w:tcMar>
              <w:top w:type="dxa" w:w="60"/>
              <w:left w:type="dxa" w:w="100"/>
              <w:bottom w:type="dxa" w:w="60"/>
              <w:right w:type="dxa" w:w="100"/>
            </w:tcMar>
          </w:tcPr>
          <w:p>
            <w:r>
              <w:rPr>
                <w:b w:val="false"/>
                <w:bCs w:val="false"/>
                <w:sz w:val="20"/>
                <w:szCs w:val="20"/>
              </w:rPr>
              <w:t xml:space="preserve">2,040</w:t>
            </w:r>
          </w:p>
        </w:tc>
        <w:tc>
          <w:tcPr>
            <w:tcW w:type="dxa" w:w="2200"/>
            <w:tcMar>
              <w:top w:type="dxa" w:w="60"/>
              <w:left w:type="dxa" w:w="100"/>
              <w:bottom w:type="dxa" w:w="60"/>
              <w:right w:type="dxa" w:w="100"/>
            </w:tcMar>
          </w:tcPr>
          <w:p>
            <w:r>
              <w:rPr>
                <w:b w:val="false"/>
                <w:bCs w:val="false"/>
                <w:sz w:val="20"/>
                <w:szCs w:val="20"/>
              </w:rPr>
              <w:t xml:space="preserve">4.5 Containers &amp; AKS</w:t>
            </w:r>
          </w:p>
        </w:tc>
        <w:tc>
          <w:tcPr>
            <w:tcW w:type="dxa" w:w="2000"/>
            <w:tcMar>
              <w:top w:type="dxa" w:w="60"/>
              <w:left w:type="dxa" w:w="100"/>
              <w:bottom w:type="dxa" w:w="60"/>
              <w:right w:type="dxa" w:w="100"/>
            </w:tcMar>
          </w:tcPr>
          <w:p>
            <w:r>
              <w:rPr>
                <w:b w:val="false"/>
                <w:bCs w:val="false"/>
                <w:sz w:val="20"/>
                <w:szCs w:val="20"/>
              </w:rPr>
              <w:t xml:space="preserve">Remediate via workload identity + admission policy</w:t>
            </w:r>
          </w:p>
        </w:tc>
      </w:tr>
      <w:tr>
        <w:tc>
          <w:tcPr>
            <w:tcW w:type="dxa" w:w="4200"/>
            <w:shd w:fill="F2F2F2" w:val="clear"/>
            <w:tcMar>
              <w:top w:type="dxa" w:w="60"/>
              <w:left w:type="dxa" w:w="100"/>
              <w:bottom w:type="dxa" w:w="60"/>
              <w:right w:type="dxa" w:w="100"/>
            </w:tcMar>
          </w:tcPr>
          <w:p>
            <w:r>
              <w:rPr>
                <w:b w:val="false"/>
                <w:bCs w:val="false"/>
                <w:sz w:val="20"/>
                <w:szCs w:val="20"/>
              </w:rPr>
              <w:t xml:space="preserve">Container images should be deployed from trusted registries only</w:t>
            </w:r>
          </w:p>
        </w:tc>
        <w:tc>
          <w:tcPr>
            <w:tcW w:type="dxa" w:w="1300"/>
            <w:shd w:fill="F2F2F2" w:val="clear"/>
            <w:tcMar>
              <w:top w:type="dxa" w:w="60"/>
              <w:left w:type="dxa" w:w="100"/>
              <w:bottom w:type="dxa" w:w="60"/>
              <w:right w:type="dxa" w:w="100"/>
            </w:tcMar>
          </w:tcPr>
          <w:p>
            <w:r>
              <w:rPr>
                <w:b w:val="false"/>
                <w:bCs w:val="false"/>
                <w:sz w:val="20"/>
                <w:szCs w:val="20"/>
              </w:rPr>
              <w:t xml:space="preserve">1,121</w:t>
            </w:r>
          </w:p>
        </w:tc>
        <w:tc>
          <w:tcPr>
            <w:tcW w:type="dxa" w:w="2200"/>
            <w:shd w:fill="F2F2F2" w:val="clear"/>
            <w:tcMar>
              <w:top w:type="dxa" w:w="60"/>
              <w:left w:type="dxa" w:w="100"/>
              <w:bottom w:type="dxa" w:w="60"/>
              <w:right w:type="dxa" w:w="100"/>
            </w:tcMar>
          </w:tcPr>
          <w:p>
            <w:r>
              <w:rPr>
                <w:b w:val="false"/>
                <w:bCs w:val="false"/>
                <w:sz w:val="20"/>
                <w:szCs w:val="20"/>
              </w:rPr>
              <w:t xml:space="preserve">4.5 Containers &amp; AKS</w:t>
            </w:r>
          </w:p>
        </w:tc>
        <w:tc>
          <w:tcPr>
            <w:tcW w:type="dxa" w:w="2000"/>
            <w:shd w:fill="F2F2F2" w:val="clear"/>
            <w:tcMar>
              <w:top w:type="dxa" w:w="60"/>
              <w:left w:type="dxa" w:w="100"/>
              <w:bottom w:type="dxa" w:w="60"/>
              <w:right w:type="dxa" w:w="100"/>
            </w:tcMar>
          </w:tcPr>
          <w:p>
            <w:r>
              <w:rPr>
                <w:b w:val="false"/>
                <w:bCs w:val="false"/>
                <w:sz w:val="20"/>
                <w:szCs w:val="20"/>
              </w:rPr>
              <w:t xml:space="preserve">Enforce ACR-only; block Docker Hub at egress</w:t>
            </w:r>
          </w:p>
        </w:tc>
      </w:tr>
      <w:tr>
        <w:tc>
          <w:tcPr>
            <w:tcW w:type="dxa" w:w="4200"/>
            <w:tcMar>
              <w:top w:type="dxa" w:w="60"/>
              <w:left w:type="dxa" w:w="100"/>
              <w:bottom w:type="dxa" w:w="60"/>
              <w:right w:type="dxa" w:w="100"/>
            </w:tcMar>
          </w:tcPr>
          <w:p>
            <w:r>
              <w:rPr>
                <w:b w:val="false"/>
                <w:bCs w:val="false"/>
                <w:sz w:val="20"/>
                <w:szCs w:val="20"/>
              </w:rPr>
              <w:t xml:space="preserve">Vulnerable AKS workloads should be updated</w:t>
            </w:r>
          </w:p>
        </w:tc>
        <w:tc>
          <w:tcPr>
            <w:tcW w:type="dxa" w:w="1300"/>
            <w:tcMar>
              <w:top w:type="dxa" w:w="60"/>
              <w:left w:type="dxa" w:w="100"/>
              <w:bottom w:type="dxa" w:w="60"/>
              <w:right w:type="dxa" w:w="100"/>
            </w:tcMar>
          </w:tcPr>
          <w:p>
            <w:r>
              <w:rPr>
                <w:b w:val="false"/>
                <w:bCs w:val="false"/>
                <w:sz w:val="20"/>
                <w:szCs w:val="20"/>
              </w:rPr>
              <w:t xml:space="preserve">382</w:t>
            </w:r>
          </w:p>
        </w:tc>
        <w:tc>
          <w:tcPr>
            <w:tcW w:type="dxa" w:w="2200"/>
            <w:tcMar>
              <w:top w:type="dxa" w:w="60"/>
              <w:left w:type="dxa" w:w="100"/>
              <w:bottom w:type="dxa" w:w="60"/>
              <w:right w:type="dxa" w:w="100"/>
            </w:tcMar>
          </w:tcPr>
          <w:p>
            <w:r>
              <w:rPr>
                <w:b w:val="false"/>
                <w:bCs w:val="false"/>
                <w:sz w:val="20"/>
                <w:szCs w:val="20"/>
              </w:rPr>
              <w:t xml:space="preserve">4.5 Containers &amp; AKS</w:t>
            </w:r>
          </w:p>
        </w:tc>
        <w:tc>
          <w:tcPr>
            <w:tcW w:type="dxa" w:w="2000"/>
            <w:tcMar>
              <w:top w:type="dxa" w:w="60"/>
              <w:left w:type="dxa" w:w="100"/>
              <w:bottom w:type="dxa" w:w="60"/>
              <w:right w:type="dxa" w:w="100"/>
            </w:tcMar>
          </w:tcPr>
          <w:p>
            <w:r>
              <w:rPr>
                <w:b w:val="false"/>
                <w:bCs w:val="false"/>
                <w:sz w:val="20"/>
                <w:szCs w:val="20"/>
              </w:rPr>
              <w:t xml:space="preserve">Root-cause rebuilds (ACR) + Renovate</w:t>
            </w:r>
          </w:p>
        </w:tc>
      </w:tr>
      <w:tr>
        <w:tc>
          <w:tcPr>
            <w:tcW w:type="dxa" w:w="4200"/>
            <w:shd w:fill="F2F2F2" w:val="clear"/>
            <w:tcMar>
              <w:top w:type="dxa" w:w="60"/>
              <w:left w:type="dxa" w:w="100"/>
              <w:bottom w:type="dxa" w:w="60"/>
              <w:right w:type="dxa" w:w="100"/>
            </w:tcMar>
          </w:tcPr>
          <w:p>
            <w:r>
              <w:rPr>
                <w:b w:val="false"/>
                <w:bCs w:val="false"/>
                <w:sz w:val="20"/>
                <w:szCs w:val="20"/>
              </w:rPr>
              <w:t xml:space="preserve">Database owners should be as expected (SQL)</w:t>
            </w:r>
          </w:p>
        </w:tc>
        <w:tc>
          <w:tcPr>
            <w:tcW w:type="dxa" w:w="1300"/>
            <w:shd w:fill="F2F2F2" w:val="clear"/>
            <w:tcMar>
              <w:top w:type="dxa" w:w="60"/>
              <w:left w:type="dxa" w:w="100"/>
              <w:bottom w:type="dxa" w:w="60"/>
              <w:right w:type="dxa" w:w="100"/>
            </w:tcMar>
          </w:tcPr>
          <w:p>
            <w:r>
              <w:rPr>
                <w:b w:val="false"/>
                <w:bCs w:val="false"/>
                <w:sz w:val="20"/>
                <w:szCs w:val="20"/>
              </w:rPr>
              <w:t xml:space="preserve">307</w:t>
            </w:r>
          </w:p>
        </w:tc>
        <w:tc>
          <w:tcPr>
            <w:tcW w:type="dxa" w:w="2200"/>
            <w:shd w:fill="F2F2F2" w:val="clear"/>
            <w:tcMar>
              <w:top w:type="dxa" w:w="60"/>
              <w:left w:type="dxa" w:w="100"/>
              <w:bottom w:type="dxa" w:w="60"/>
              <w:right w:type="dxa" w:w="100"/>
            </w:tcMar>
          </w:tcPr>
          <w:p>
            <w:r>
              <w:rPr>
                <w:b w:val="false"/>
                <w:bCs w:val="false"/>
                <w:sz w:val="20"/>
                <w:szCs w:val="20"/>
              </w:rPr>
              <w:t xml:space="preserve">4.1 Identity &amp; Privileged Access</w:t>
            </w:r>
          </w:p>
        </w:tc>
        <w:tc>
          <w:tcPr>
            <w:tcW w:type="dxa" w:w="2000"/>
            <w:shd w:fill="F2F2F2" w:val="clear"/>
            <w:tcMar>
              <w:top w:type="dxa" w:w="60"/>
              <w:left w:type="dxa" w:w="100"/>
              <w:bottom w:type="dxa" w:w="60"/>
              <w:right w:type="dxa" w:w="100"/>
            </w:tcMar>
          </w:tcPr>
          <w:p>
            <w:r>
              <w:rPr>
                <w:b w:val="false"/>
                <w:bCs w:val="false"/>
                <w:sz w:val="20"/>
                <w:szCs w:val="20"/>
              </w:rPr>
              <w:t xml:space="preserve">Ownership clean-up + access review</w:t>
            </w:r>
          </w:p>
        </w:tc>
      </w:tr>
      <w:tr>
        <w:tc>
          <w:tcPr>
            <w:tcW w:type="dxa" w:w="4200"/>
            <w:tcMar>
              <w:top w:type="dxa" w:w="60"/>
              <w:left w:type="dxa" w:w="100"/>
              <w:bottom w:type="dxa" w:w="60"/>
              <w:right w:type="dxa" w:w="100"/>
            </w:tcMar>
          </w:tcPr>
          <w:p>
            <w:r>
              <w:rPr>
                <w:b w:val="false"/>
                <w:bCs w:val="false"/>
                <w:sz w:val="20"/>
                <w:szCs w:val="20"/>
              </w:rPr>
              <w:t xml:space="preserve">Execute permissions on registry restricted (SQL)</w:t>
            </w:r>
          </w:p>
        </w:tc>
        <w:tc>
          <w:tcPr>
            <w:tcW w:type="dxa" w:w="1300"/>
            <w:tcMar>
              <w:top w:type="dxa" w:w="60"/>
              <w:left w:type="dxa" w:w="100"/>
              <w:bottom w:type="dxa" w:w="60"/>
              <w:right w:type="dxa" w:w="100"/>
            </w:tcMar>
          </w:tcPr>
          <w:p>
            <w:r>
              <w:rPr>
                <w:b w:val="false"/>
                <w:bCs w:val="false"/>
                <w:sz w:val="20"/>
                <w:szCs w:val="20"/>
              </w:rPr>
              <w:t xml:space="preserve">267</w:t>
            </w:r>
          </w:p>
        </w:tc>
        <w:tc>
          <w:tcPr>
            <w:tcW w:type="dxa" w:w="2200"/>
            <w:tcMar>
              <w:top w:type="dxa" w:w="60"/>
              <w:left w:type="dxa" w:w="100"/>
              <w:bottom w:type="dxa" w:w="60"/>
              <w:right w:type="dxa" w:w="100"/>
            </w:tcMar>
          </w:tcPr>
          <w:p>
            <w:r>
              <w:rPr>
                <w:b w:val="false"/>
                <w:bCs w:val="false"/>
                <w:sz w:val="20"/>
                <w:szCs w:val="20"/>
              </w:rPr>
              <w:t xml:space="preserve">4.4 Compute &amp; SQL hardening</w:t>
            </w:r>
          </w:p>
        </w:tc>
        <w:tc>
          <w:tcPr>
            <w:tcW w:type="dxa" w:w="2000"/>
            <w:tcMar>
              <w:top w:type="dxa" w:w="60"/>
              <w:left w:type="dxa" w:w="100"/>
              <w:bottom w:type="dxa" w:w="60"/>
              <w:right w:type="dxa" w:w="100"/>
            </w:tcMar>
          </w:tcPr>
          <w:p>
            <w:r>
              <w:rPr>
                <w:b w:val="false"/>
                <w:bCs w:val="false"/>
                <w:sz w:val="20"/>
                <w:szCs w:val="20"/>
              </w:rPr>
              <w:t xml:space="preserve">Harden per CIS SQL baseline</w:t>
            </w:r>
          </w:p>
        </w:tc>
      </w:tr>
      <w:tr>
        <w:tc>
          <w:tcPr>
            <w:tcW w:type="dxa" w:w="4200"/>
            <w:shd w:fill="F2F2F2" w:val="clear"/>
            <w:tcMar>
              <w:top w:type="dxa" w:w="60"/>
              <w:left w:type="dxa" w:w="100"/>
              <w:bottom w:type="dxa" w:w="60"/>
              <w:right w:type="dxa" w:w="100"/>
            </w:tcMar>
          </w:tcPr>
          <w:p>
            <w:r>
              <w:rPr>
                <w:b w:val="false"/>
                <w:bCs w:val="false"/>
                <w:sz w:val="20"/>
                <w:szCs w:val="20"/>
              </w:rPr>
              <w:t xml:space="preserve">Security-affecting SQL features should be disabled</w:t>
            </w:r>
          </w:p>
        </w:tc>
        <w:tc>
          <w:tcPr>
            <w:tcW w:type="dxa" w:w="1300"/>
            <w:shd w:fill="F2F2F2" w:val="clear"/>
            <w:tcMar>
              <w:top w:type="dxa" w:w="60"/>
              <w:left w:type="dxa" w:w="100"/>
              <w:bottom w:type="dxa" w:w="60"/>
              <w:right w:type="dxa" w:w="100"/>
            </w:tcMar>
          </w:tcPr>
          <w:p>
            <w:r>
              <w:rPr>
                <w:b w:val="false"/>
                <w:bCs w:val="false"/>
                <w:sz w:val="20"/>
                <w:szCs w:val="20"/>
              </w:rPr>
              <w:t xml:space="preserve">260</w:t>
            </w:r>
          </w:p>
        </w:tc>
        <w:tc>
          <w:tcPr>
            <w:tcW w:type="dxa" w:w="2200"/>
            <w:shd w:fill="F2F2F2" w:val="clear"/>
            <w:tcMar>
              <w:top w:type="dxa" w:w="60"/>
              <w:left w:type="dxa" w:w="100"/>
              <w:bottom w:type="dxa" w:w="60"/>
              <w:right w:type="dxa" w:w="100"/>
            </w:tcMar>
          </w:tcPr>
          <w:p>
            <w:r>
              <w:rPr>
                <w:b w:val="false"/>
                <w:bCs w:val="false"/>
                <w:sz w:val="20"/>
                <w:szCs w:val="20"/>
              </w:rPr>
              <w:t xml:space="preserve">4.4 Compute &amp; SQL hardening</w:t>
            </w:r>
          </w:p>
        </w:tc>
        <w:tc>
          <w:tcPr>
            <w:tcW w:type="dxa" w:w="2000"/>
            <w:shd w:fill="F2F2F2" w:val="clear"/>
            <w:tcMar>
              <w:top w:type="dxa" w:w="60"/>
              <w:left w:type="dxa" w:w="100"/>
              <w:bottom w:type="dxa" w:w="60"/>
              <w:right w:type="dxa" w:w="100"/>
            </w:tcMar>
          </w:tcPr>
          <w:p>
            <w:r>
              <w:rPr>
                <w:b w:val="false"/>
                <w:bCs w:val="false"/>
                <w:sz w:val="20"/>
                <w:szCs w:val="20"/>
              </w:rPr>
              <w:t xml:space="preserve">Disable unless exception</w:t>
            </w:r>
          </w:p>
        </w:tc>
      </w:tr>
      <w:tr>
        <w:tc>
          <w:tcPr>
            <w:tcW w:type="dxa" w:w="4200"/>
            <w:tcMar>
              <w:top w:type="dxa" w:w="60"/>
              <w:left w:type="dxa" w:w="100"/>
              <w:bottom w:type="dxa" w:w="60"/>
              <w:right w:type="dxa" w:w="100"/>
            </w:tcMar>
          </w:tcPr>
          <w:p>
            <w:r>
              <w:rPr>
                <w:b w:val="false"/>
                <w:bCs w:val="false"/>
                <w:sz w:val="20"/>
                <w:szCs w:val="20"/>
              </w:rPr>
              <w:t xml:space="preserve">Minimal principals in fixed server/database roles (SQL)</w:t>
            </w:r>
          </w:p>
        </w:tc>
        <w:tc>
          <w:tcPr>
            <w:tcW w:type="dxa" w:w="1300"/>
            <w:tcMar>
              <w:top w:type="dxa" w:w="60"/>
              <w:left w:type="dxa" w:w="100"/>
              <w:bottom w:type="dxa" w:w="60"/>
              <w:right w:type="dxa" w:w="100"/>
            </w:tcMar>
          </w:tcPr>
          <w:p>
            <w:r>
              <w:rPr>
                <w:b w:val="false"/>
                <w:bCs w:val="false"/>
                <w:sz w:val="20"/>
                <w:szCs w:val="20"/>
              </w:rPr>
              <w:t xml:space="preserve">260 / 153</w:t>
            </w:r>
          </w:p>
        </w:tc>
        <w:tc>
          <w:tcPr>
            <w:tcW w:type="dxa" w:w="2200"/>
            <w:tcMar>
              <w:top w:type="dxa" w:w="60"/>
              <w:left w:type="dxa" w:w="100"/>
              <w:bottom w:type="dxa" w:w="60"/>
              <w:right w:type="dxa" w:w="100"/>
            </w:tcMar>
          </w:tcPr>
          <w:p>
            <w:r>
              <w:rPr>
                <w:b w:val="false"/>
                <w:bCs w:val="false"/>
                <w:sz w:val="20"/>
                <w:szCs w:val="20"/>
              </w:rPr>
              <w:t xml:space="preserve">4.1 Identity &amp; Privileged Access</w:t>
            </w:r>
          </w:p>
        </w:tc>
        <w:tc>
          <w:tcPr>
            <w:tcW w:type="dxa" w:w="2000"/>
            <w:tcMar>
              <w:top w:type="dxa" w:w="60"/>
              <w:left w:type="dxa" w:w="100"/>
              <w:bottom w:type="dxa" w:w="60"/>
              <w:right w:type="dxa" w:w="100"/>
            </w:tcMar>
          </w:tcPr>
          <w:p>
            <w:r>
              <w:rPr>
                <w:b w:val="false"/>
                <w:bCs w:val="false"/>
                <w:sz w:val="20"/>
                <w:szCs w:val="20"/>
              </w:rPr>
              <w:t xml:space="preserve">Reduce membership; PIM for admin</w:t>
            </w:r>
          </w:p>
        </w:tc>
      </w:tr>
      <w:tr>
        <w:tc>
          <w:tcPr>
            <w:tcW w:type="dxa" w:w="4200"/>
            <w:shd w:fill="F2F2F2" w:val="clear"/>
            <w:tcMar>
              <w:top w:type="dxa" w:w="60"/>
              <w:left w:type="dxa" w:w="100"/>
              <w:bottom w:type="dxa" w:w="60"/>
              <w:right w:type="dxa" w:w="100"/>
            </w:tcMar>
          </w:tcPr>
          <w:p>
            <w:r>
              <w:rPr>
                <w:b w:val="false"/>
                <w:bCs w:val="false"/>
                <w:sz w:val="20"/>
                <w:szCs w:val="20"/>
              </w:rPr>
              <w:t xml:space="preserve">Machines with unresolved secrets findings</w:t>
            </w:r>
          </w:p>
        </w:tc>
        <w:tc>
          <w:tcPr>
            <w:tcW w:type="dxa" w:w="1300"/>
            <w:shd w:fill="F2F2F2" w:val="clear"/>
            <w:tcMar>
              <w:top w:type="dxa" w:w="60"/>
              <w:left w:type="dxa" w:w="100"/>
              <w:bottom w:type="dxa" w:w="60"/>
              <w:right w:type="dxa" w:w="100"/>
            </w:tcMar>
          </w:tcPr>
          <w:p>
            <w:r>
              <w:rPr>
                <w:b w:val="false"/>
                <w:bCs w:val="false"/>
                <w:sz w:val="20"/>
                <w:szCs w:val="20"/>
              </w:rPr>
              <w:t xml:space="preserve">249</w:t>
            </w:r>
          </w:p>
        </w:tc>
        <w:tc>
          <w:tcPr>
            <w:tcW w:type="dxa" w:w="2200"/>
            <w:shd w:fill="F2F2F2" w:val="clear"/>
            <w:tcMar>
              <w:top w:type="dxa" w:w="60"/>
              <w:left w:type="dxa" w:w="100"/>
              <w:bottom w:type="dxa" w:w="60"/>
              <w:right w:type="dxa" w:w="100"/>
            </w:tcMar>
          </w:tcPr>
          <w:p>
            <w:r>
              <w:rPr>
                <w:b w:val="false"/>
                <w:bCs w:val="false"/>
                <w:sz w:val="20"/>
                <w:szCs w:val="20"/>
              </w:rPr>
              <w:t xml:space="preserve">4.4 / 4.8 DevOps</w:t>
            </w:r>
          </w:p>
        </w:tc>
        <w:tc>
          <w:tcPr>
            <w:tcW w:type="dxa" w:w="2000"/>
            <w:shd w:fill="F2F2F2" w:val="clear"/>
            <w:tcMar>
              <w:top w:type="dxa" w:w="60"/>
              <w:left w:type="dxa" w:w="100"/>
              <w:bottom w:type="dxa" w:w="60"/>
              <w:right w:type="dxa" w:w="100"/>
            </w:tcMar>
          </w:tcPr>
          <w:p>
            <w:r>
              <w:rPr>
                <w:b w:val="false"/>
                <w:bCs w:val="false"/>
                <w:sz w:val="20"/>
                <w:szCs w:val="20"/>
              </w:rPr>
              <w:t xml:space="preserve">Rotate + move to Key Vault / Managed Identity</w:t>
            </w:r>
          </w:p>
        </w:tc>
      </w:tr>
      <w:tr>
        <w:tc>
          <w:tcPr>
            <w:tcW w:type="dxa" w:w="4200"/>
            <w:tcMar>
              <w:top w:type="dxa" w:w="60"/>
              <w:left w:type="dxa" w:w="100"/>
              <w:bottom w:type="dxa" w:w="60"/>
              <w:right w:type="dxa" w:w="100"/>
            </w:tcMar>
          </w:tcPr>
          <w:p>
            <w:r>
              <w:rPr>
                <w:b w:val="false"/>
                <w:bCs w:val="false"/>
                <w:sz w:val="20"/>
                <w:szCs w:val="20"/>
              </w:rPr>
              <w:t xml:space="preserve">Insecure Azure storage SAS tokens</w:t>
            </w:r>
          </w:p>
        </w:tc>
        <w:tc>
          <w:tcPr>
            <w:tcW w:type="dxa" w:w="1300"/>
            <w:tcMar>
              <w:top w:type="dxa" w:w="60"/>
              <w:left w:type="dxa" w:w="100"/>
              <w:bottom w:type="dxa" w:w="60"/>
              <w:right w:type="dxa" w:w="100"/>
            </w:tcMar>
          </w:tcPr>
          <w:p>
            <w:r>
              <w:rPr>
                <w:b w:val="false"/>
                <w:bCs w:val="false"/>
                <w:sz w:val="20"/>
                <w:szCs w:val="20"/>
              </w:rPr>
              <w:t xml:space="preserve">229</w:t>
            </w:r>
          </w:p>
        </w:tc>
        <w:tc>
          <w:tcPr>
            <w:tcW w:type="dxa" w:w="2200"/>
            <w:tcMar>
              <w:top w:type="dxa" w:w="60"/>
              <w:left w:type="dxa" w:w="100"/>
              <w:bottom w:type="dxa" w:w="60"/>
              <w:right w:type="dxa" w:w="100"/>
            </w:tcMar>
          </w:tcPr>
          <w:p>
            <w:r>
              <w:rPr>
                <w:b w:val="false"/>
                <w:bCs w:val="false"/>
                <w:sz w:val="20"/>
                <w:szCs w:val="20"/>
              </w:rPr>
              <w:t xml:space="preserve">4.3 Data Protection</w:t>
            </w:r>
          </w:p>
        </w:tc>
        <w:tc>
          <w:tcPr>
            <w:tcW w:type="dxa" w:w="2000"/>
            <w:tcMar>
              <w:top w:type="dxa" w:w="60"/>
              <w:left w:type="dxa" w:w="100"/>
              <w:bottom w:type="dxa" w:w="60"/>
              <w:right w:type="dxa" w:w="100"/>
            </w:tcMar>
          </w:tcPr>
          <w:p>
            <w:r>
              <w:rPr>
                <w:b w:val="false"/>
                <w:bCs w:val="false"/>
                <w:sz w:val="20"/>
                <w:szCs w:val="20"/>
              </w:rPr>
              <w:t xml:space="preserve">Short-lived, scoped SAS; prefer Entra RBAC</w:t>
            </w:r>
          </w:p>
        </w:tc>
      </w:tr>
      <w:tr>
        <w:tc>
          <w:tcPr>
            <w:tcW w:type="dxa" w:w="4200"/>
            <w:shd w:fill="F2F2F2" w:val="clear"/>
            <w:tcMar>
              <w:top w:type="dxa" w:w="60"/>
              <w:left w:type="dxa" w:w="100"/>
              <w:bottom w:type="dxa" w:w="60"/>
              <w:right w:type="dxa" w:w="100"/>
            </w:tcMar>
          </w:tcPr>
          <w:p>
            <w:r>
              <w:rPr>
                <w:b w:val="false"/>
                <w:bCs w:val="false"/>
                <w:sz w:val="20"/>
                <w:szCs w:val="20"/>
              </w:rPr>
              <w:t xml:space="preserve">Upgrade AKS version</w:t>
            </w:r>
          </w:p>
        </w:tc>
        <w:tc>
          <w:tcPr>
            <w:tcW w:type="dxa" w:w="1300"/>
            <w:shd w:fill="F2F2F2" w:val="clear"/>
            <w:tcMar>
              <w:top w:type="dxa" w:w="60"/>
              <w:left w:type="dxa" w:w="100"/>
              <w:bottom w:type="dxa" w:w="60"/>
              <w:right w:type="dxa" w:w="100"/>
            </w:tcMar>
          </w:tcPr>
          <w:p>
            <w:r>
              <w:rPr>
                <w:b w:val="false"/>
                <w:bCs w:val="false"/>
                <w:sz w:val="20"/>
                <w:szCs w:val="20"/>
              </w:rPr>
              <w:t xml:space="preserve">220</w:t>
            </w:r>
          </w:p>
        </w:tc>
        <w:tc>
          <w:tcPr>
            <w:tcW w:type="dxa" w:w="2200"/>
            <w:shd w:fill="F2F2F2" w:val="clear"/>
            <w:tcMar>
              <w:top w:type="dxa" w:w="60"/>
              <w:left w:type="dxa" w:w="100"/>
              <w:bottom w:type="dxa" w:w="60"/>
              <w:right w:type="dxa" w:w="100"/>
            </w:tcMar>
          </w:tcPr>
          <w:p>
            <w:r>
              <w:rPr>
                <w:b w:val="false"/>
                <w:bCs w:val="false"/>
                <w:sz w:val="20"/>
                <w:szCs w:val="20"/>
              </w:rPr>
              <w:t xml:space="preserve">4.5 Containers &amp; AKS</w:t>
            </w:r>
          </w:p>
        </w:tc>
        <w:tc>
          <w:tcPr>
            <w:tcW w:type="dxa" w:w="2000"/>
            <w:shd w:fill="F2F2F2" w:val="clear"/>
            <w:tcMar>
              <w:top w:type="dxa" w:w="60"/>
              <w:left w:type="dxa" w:w="100"/>
              <w:bottom w:type="dxa" w:w="60"/>
              <w:right w:type="dxa" w:w="100"/>
            </w:tcMar>
          </w:tcPr>
          <w:p>
            <w:r>
              <w:rPr>
                <w:b w:val="false"/>
                <w:bCs w:val="false"/>
                <w:sz w:val="20"/>
                <w:szCs w:val="20"/>
              </w:rPr>
              <w:t xml:space="preserve">Ring-based node/control-plane upgrades</w:t>
            </w:r>
          </w:p>
        </w:tc>
      </w:tr>
      <w:tr>
        <w:tc>
          <w:tcPr>
            <w:tcW w:type="dxa" w:w="4200"/>
            <w:tcMar>
              <w:top w:type="dxa" w:w="60"/>
              <w:left w:type="dxa" w:w="100"/>
              <w:bottom w:type="dxa" w:w="60"/>
              <w:right w:type="dxa" w:w="100"/>
            </w:tcMar>
          </w:tcPr>
          <w:p>
            <w:r>
              <w:rPr>
                <w:b w:val="false"/>
                <w:bCs w:val="false"/>
                <w:sz w:val="20"/>
                <w:szCs w:val="20"/>
              </w:rPr>
              <w:t xml:space="preserve">System updates missing (Azure Update Manager)</w:t>
            </w:r>
          </w:p>
        </w:tc>
        <w:tc>
          <w:tcPr>
            <w:tcW w:type="dxa" w:w="1300"/>
            <w:tcMar>
              <w:top w:type="dxa" w:w="60"/>
              <w:left w:type="dxa" w:w="100"/>
              <w:bottom w:type="dxa" w:w="60"/>
              <w:right w:type="dxa" w:w="100"/>
            </w:tcMar>
          </w:tcPr>
          <w:p>
            <w:r>
              <w:rPr>
                <w:b w:val="false"/>
                <w:bCs w:val="false"/>
                <w:sz w:val="20"/>
                <w:szCs w:val="20"/>
              </w:rPr>
              <w:t xml:space="preserve">212</w:t>
            </w:r>
          </w:p>
        </w:tc>
        <w:tc>
          <w:tcPr>
            <w:tcW w:type="dxa" w:w="2200"/>
            <w:tcMar>
              <w:top w:type="dxa" w:w="60"/>
              <w:left w:type="dxa" w:w="100"/>
              <w:bottom w:type="dxa" w:w="60"/>
              <w:right w:type="dxa" w:w="100"/>
            </w:tcMar>
          </w:tcPr>
          <w:p>
            <w:r>
              <w:rPr>
                <w:b w:val="false"/>
                <w:bCs w:val="false"/>
                <w:sz w:val="20"/>
                <w:szCs w:val="20"/>
              </w:rPr>
              <w:t xml:space="preserve">4.4 Compute &amp; Patching</w:t>
            </w:r>
          </w:p>
        </w:tc>
        <w:tc>
          <w:tcPr>
            <w:tcW w:type="dxa" w:w="2000"/>
            <w:tcMar>
              <w:top w:type="dxa" w:w="60"/>
              <w:left w:type="dxa" w:w="100"/>
              <w:bottom w:type="dxa" w:w="60"/>
              <w:right w:type="dxa" w:w="100"/>
            </w:tcMar>
          </w:tcPr>
          <w:p>
            <w:r>
              <w:rPr>
                <w:b w:val="false"/>
                <w:bCs w:val="false"/>
                <w:sz w:val="20"/>
                <w:szCs w:val="20"/>
              </w:rPr>
              <w:t xml:space="preserve">Patch rings + maintenance windows</w:t>
            </w:r>
          </w:p>
        </w:tc>
      </w:tr>
      <w:tr>
        <w:tc>
          <w:tcPr>
            <w:tcW w:type="dxa" w:w="4200"/>
            <w:shd w:fill="F2F2F2" w:val="clear"/>
            <w:tcMar>
              <w:top w:type="dxa" w:w="60"/>
              <w:left w:type="dxa" w:w="100"/>
              <w:bottom w:type="dxa" w:w="60"/>
              <w:right w:type="dxa" w:w="100"/>
            </w:tcMar>
          </w:tcPr>
          <w:p>
            <w:r>
              <w:rPr>
                <w:b w:val="false"/>
                <w:bCs w:val="false"/>
                <w:sz w:val="20"/>
                <w:szCs w:val="20"/>
              </w:rPr>
              <w:t xml:space="preserve">Windows servers on insecure communication protocols</w:t>
            </w:r>
          </w:p>
        </w:tc>
        <w:tc>
          <w:tcPr>
            <w:tcW w:type="dxa" w:w="1300"/>
            <w:shd w:fill="F2F2F2" w:val="clear"/>
            <w:tcMar>
              <w:top w:type="dxa" w:w="60"/>
              <w:left w:type="dxa" w:w="100"/>
              <w:bottom w:type="dxa" w:w="60"/>
              <w:right w:type="dxa" w:w="100"/>
            </w:tcMar>
          </w:tcPr>
          <w:p>
            <w:r>
              <w:rPr>
                <w:b w:val="false"/>
                <w:bCs w:val="false"/>
                <w:sz w:val="20"/>
                <w:szCs w:val="20"/>
              </w:rPr>
              <w:t xml:space="preserve">201</w:t>
            </w:r>
          </w:p>
        </w:tc>
        <w:tc>
          <w:tcPr>
            <w:tcW w:type="dxa" w:w="2200"/>
            <w:shd w:fill="F2F2F2" w:val="clear"/>
            <w:tcMar>
              <w:top w:type="dxa" w:w="60"/>
              <w:left w:type="dxa" w:w="100"/>
              <w:bottom w:type="dxa" w:w="60"/>
              <w:right w:type="dxa" w:w="100"/>
            </w:tcMar>
          </w:tcPr>
          <w:p>
            <w:r>
              <w:rPr>
                <w:b w:val="false"/>
                <w:bCs w:val="false"/>
                <w:sz w:val="20"/>
                <w:szCs w:val="20"/>
              </w:rPr>
              <w:t xml:space="preserve">4.3 Data Protection</w:t>
            </w:r>
          </w:p>
        </w:tc>
        <w:tc>
          <w:tcPr>
            <w:tcW w:type="dxa" w:w="2000"/>
            <w:shd w:fill="F2F2F2" w:val="clear"/>
            <w:tcMar>
              <w:top w:type="dxa" w:w="60"/>
              <w:left w:type="dxa" w:w="100"/>
              <w:bottom w:type="dxa" w:w="60"/>
              <w:right w:type="dxa" w:w="100"/>
            </w:tcMar>
          </w:tcPr>
          <w:p>
            <w:r>
              <w:rPr>
                <w:b w:val="false"/>
                <w:bCs w:val="false"/>
                <w:sz w:val="20"/>
                <w:szCs w:val="20"/>
              </w:rPr>
              <w:t xml:space="preserve">Disable legacy TLS/ciphers</w:t>
            </w:r>
          </w:p>
        </w:tc>
      </w:tr>
      <w:tr>
        <w:tc>
          <w:tcPr>
            <w:tcW w:type="dxa" w:w="4200"/>
            <w:tcMar>
              <w:top w:type="dxa" w:w="60"/>
              <w:left w:type="dxa" w:w="100"/>
              <w:bottom w:type="dxa" w:w="60"/>
              <w:right w:type="dxa" w:w="100"/>
            </w:tcMar>
          </w:tcPr>
          <w:p>
            <w:r>
              <w:rPr>
                <w:b w:val="false"/>
                <w:bCs w:val="false"/>
                <w:sz w:val="20"/>
                <w:szCs w:val="20"/>
              </w:rPr>
              <w:t xml:space="preserve">Force Encryption for TDS (SQL)</w:t>
            </w:r>
          </w:p>
        </w:tc>
        <w:tc>
          <w:tcPr>
            <w:tcW w:type="dxa" w:w="1300"/>
            <w:tcMar>
              <w:top w:type="dxa" w:w="60"/>
              <w:left w:type="dxa" w:w="100"/>
              <w:bottom w:type="dxa" w:w="60"/>
              <w:right w:type="dxa" w:w="100"/>
            </w:tcMar>
          </w:tcPr>
          <w:p>
            <w:r>
              <w:rPr>
                <w:b w:val="false"/>
                <w:bCs w:val="false"/>
                <w:sz w:val="20"/>
                <w:szCs w:val="20"/>
              </w:rPr>
              <w:t xml:space="preserve">186</w:t>
            </w:r>
          </w:p>
        </w:tc>
        <w:tc>
          <w:tcPr>
            <w:tcW w:type="dxa" w:w="2200"/>
            <w:tcMar>
              <w:top w:type="dxa" w:w="60"/>
              <w:left w:type="dxa" w:w="100"/>
              <w:bottom w:type="dxa" w:w="60"/>
              <w:right w:type="dxa" w:w="100"/>
            </w:tcMar>
          </w:tcPr>
          <w:p>
            <w:r>
              <w:rPr>
                <w:b w:val="false"/>
                <w:bCs w:val="false"/>
                <w:sz w:val="20"/>
                <w:szCs w:val="20"/>
              </w:rPr>
              <w:t xml:space="preserve">4.3 Data Protection</w:t>
            </w:r>
          </w:p>
        </w:tc>
        <w:tc>
          <w:tcPr>
            <w:tcW w:type="dxa" w:w="2000"/>
            <w:tcMar>
              <w:top w:type="dxa" w:w="60"/>
              <w:left w:type="dxa" w:w="100"/>
              <w:bottom w:type="dxa" w:w="60"/>
              <w:right w:type="dxa" w:w="100"/>
            </w:tcMar>
          </w:tcPr>
          <w:p>
            <w:r>
              <w:rPr>
                <w:b w:val="false"/>
                <w:bCs w:val="false"/>
                <w:sz w:val="20"/>
                <w:szCs w:val="20"/>
              </w:rPr>
              <w:t xml:space="preserve">Enable; test app connectivity</w:t>
            </w:r>
          </w:p>
        </w:tc>
      </w:tr>
      <w:tr>
        <w:tc>
          <w:tcPr>
            <w:tcW w:type="dxa" w:w="4200"/>
            <w:shd w:fill="F2F2F2" w:val="clear"/>
            <w:tcMar>
              <w:top w:type="dxa" w:w="60"/>
              <w:left w:type="dxa" w:w="100"/>
              <w:bottom w:type="dxa" w:w="60"/>
              <w:right w:type="dxa" w:w="100"/>
            </w:tcMar>
          </w:tcPr>
          <w:p>
            <w:r>
              <w:rPr>
                <w:b w:val="false"/>
                <w:bCs w:val="false"/>
                <w:sz w:val="20"/>
                <w:szCs w:val="20"/>
              </w:rPr>
              <w:t xml:space="preserve">SQL VM vulnerability findings unresolved</w:t>
            </w:r>
          </w:p>
        </w:tc>
        <w:tc>
          <w:tcPr>
            <w:tcW w:type="dxa" w:w="1300"/>
            <w:shd w:fill="F2F2F2" w:val="clear"/>
            <w:tcMar>
              <w:top w:type="dxa" w:w="60"/>
              <w:left w:type="dxa" w:w="100"/>
              <w:bottom w:type="dxa" w:w="60"/>
              <w:right w:type="dxa" w:w="100"/>
            </w:tcMar>
          </w:tcPr>
          <w:p>
            <w:r>
              <w:rPr>
                <w:b w:val="false"/>
                <w:bCs w:val="false"/>
                <w:sz w:val="20"/>
                <w:szCs w:val="20"/>
              </w:rPr>
              <w:t xml:space="preserve">179</w:t>
            </w:r>
          </w:p>
        </w:tc>
        <w:tc>
          <w:tcPr>
            <w:tcW w:type="dxa" w:w="2200"/>
            <w:shd w:fill="F2F2F2" w:val="clear"/>
            <w:tcMar>
              <w:top w:type="dxa" w:w="60"/>
              <w:left w:type="dxa" w:w="100"/>
              <w:bottom w:type="dxa" w:w="60"/>
              <w:right w:type="dxa" w:w="100"/>
            </w:tcMar>
          </w:tcPr>
          <w:p>
            <w:r>
              <w:rPr>
                <w:b w:val="false"/>
                <w:bCs w:val="false"/>
                <w:sz w:val="20"/>
                <w:szCs w:val="20"/>
              </w:rPr>
              <w:t xml:space="preserve">4.4 Compute &amp; Patching</w:t>
            </w:r>
          </w:p>
        </w:tc>
        <w:tc>
          <w:tcPr>
            <w:tcW w:type="dxa" w:w="2000"/>
            <w:shd w:fill="F2F2F2" w:val="clear"/>
            <w:tcMar>
              <w:top w:type="dxa" w:w="60"/>
              <w:left w:type="dxa" w:w="100"/>
              <w:bottom w:type="dxa" w:w="60"/>
              <w:right w:type="dxa" w:w="100"/>
            </w:tcMar>
          </w:tcPr>
          <w:p>
            <w:r>
              <w:rPr>
                <w:b w:val="false"/>
                <w:bCs w:val="false"/>
                <w:sz w:val="20"/>
                <w:szCs w:val="20"/>
              </w:rPr>
              <w:t xml:space="preserve">Assess + remediate via rings</w:t>
            </w:r>
          </w:p>
        </w:tc>
      </w:tr>
      <w:tr>
        <w:tc>
          <w:tcPr>
            <w:tcW w:type="dxa" w:w="4200"/>
            <w:tcMar>
              <w:top w:type="dxa" w:w="60"/>
              <w:left w:type="dxa" w:w="100"/>
              <w:bottom w:type="dxa" w:w="60"/>
              <w:right w:type="dxa" w:w="100"/>
            </w:tcMar>
          </w:tcPr>
          <w:p>
            <w:r>
              <w:rPr>
                <w:b w:val="false"/>
                <w:bCs w:val="false"/>
                <w:sz w:val="20"/>
                <w:szCs w:val="20"/>
              </w:rPr>
              <w:t xml:space="preserve">Latest updates for SQL Servers</w:t>
            </w:r>
          </w:p>
        </w:tc>
        <w:tc>
          <w:tcPr>
            <w:tcW w:type="dxa" w:w="1300"/>
            <w:tcMar>
              <w:top w:type="dxa" w:w="60"/>
              <w:left w:type="dxa" w:w="100"/>
              <w:bottom w:type="dxa" w:w="60"/>
              <w:right w:type="dxa" w:w="100"/>
            </w:tcMar>
          </w:tcPr>
          <w:p>
            <w:r>
              <w:rPr>
                <w:b w:val="false"/>
                <w:bCs w:val="false"/>
                <w:sz w:val="20"/>
                <w:szCs w:val="20"/>
              </w:rPr>
              <w:t xml:space="preserve">149</w:t>
            </w:r>
          </w:p>
        </w:tc>
        <w:tc>
          <w:tcPr>
            <w:tcW w:type="dxa" w:w="2200"/>
            <w:tcMar>
              <w:top w:type="dxa" w:w="60"/>
              <w:left w:type="dxa" w:w="100"/>
              <w:bottom w:type="dxa" w:w="60"/>
              <w:right w:type="dxa" w:w="100"/>
            </w:tcMar>
          </w:tcPr>
          <w:p>
            <w:r>
              <w:rPr>
                <w:b w:val="false"/>
                <w:bCs w:val="false"/>
                <w:sz w:val="20"/>
                <w:szCs w:val="20"/>
              </w:rPr>
              <w:t xml:space="preserve">4.4 Compute &amp; Patching</w:t>
            </w:r>
          </w:p>
        </w:tc>
        <w:tc>
          <w:tcPr>
            <w:tcW w:type="dxa" w:w="2000"/>
            <w:tcMar>
              <w:top w:type="dxa" w:w="60"/>
              <w:left w:type="dxa" w:w="100"/>
              <w:bottom w:type="dxa" w:w="60"/>
              <w:right w:type="dxa" w:w="100"/>
            </w:tcMar>
          </w:tcPr>
          <w:p>
            <w:r>
              <w:rPr>
                <w:b w:val="false"/>
                <w:bCs w:val="false"/>
                <w:sz w:val="20"/>
                <w:szCs w:val="20"/>
              </w:rPr>
              <w:t xml:space="preserve">CU baseline via Update Manager</w:t>
            </w:r>
          </w:p>
        </w:tc>
      </w:tr>
      <w:tr>
        <w:tc>
          <w:tcPr>
            <w:tcW w:type="dxa" w:w="4200"/>
            <w:shd w:fill="F2F2F2" w:val="clear"/>
            <w:tcMar>
              <w:top w:type="dxa" w:w="60"/>
              <w:left w:type="dxa" w:w="100"/>
              <w:bottom w:type="dxa" w:w="60"/>
              <w:right w:type="dxa" w:w="100"/>
            </w:tcMar>
          </w:tcPr>
          <w:p>
            <w:r>
              <w:rPr>
                <w:b w:val="false"/>
                <w:bCs w:val="false"/>
                <w:sz w:val="20"/>
                <w:szCs w:val="20"/>
              </w:rPr>
              <w:t xml:space="preserve">Insecure database connection strings</w:t>
            </w:r>
          </w:p>
        </w:tc>
        <w:tc>
          <w:tcPr>
            <w:tcW w:type="dxa" w:w="1300"/>
            <w:shd w:fill="F2F2F2" w:val="clear"/>
            <w:tcMar>
              <w:top w:type="dxa" w:w="60"/>
              <w:left w:type="dxa" w:w="100"/>
              <w:bottom w:type="dxa" w:w="60"/>
              <w:right w:type="dxa" w:w="100"/>
            </w:tcMar>
          </w:tcPr>
          <w:p>
            <w:r>
              <w:rPr>
                <w:b w:val="false"/>
                <w:bCs w:val="false"/>
                <w:sz w:val="20"/>
                <w:szCs w:val="20"/>
              </w:rPr>
              <w:t xml:space="preserve">126</w:t>
            </w:r>
          </w:p>
        </w:tc>
        <w:tc>
          <w:tcPr>
            <w:tcW w:type="dxa" w:w="2200"/>
            <w:shd w:fill="F2F2F2" w:val="clear"/>
            <w:tcMar>
              <w:top w:type="dxa" w:w="60"/>
              <w:left w:type="dxa" w:w="100"/>
              <w:bottom w:type="dxa" w:w="60"/>
              <w:right w:type="dxa" w:w="100"/>
            </w:tcMar>
          </w:tcPr>
          <w:p>
            <w:r>
              <w:rPr>
                <w:b w:val="false"/>
                <w:bCs w:val="false"/>
                <w:sz w:val="20"/>
                <w:szCs w:val="20"/>
              </w:rPr>
              <w:t xml:space="preserve">4.3 Data Protection</w:t>
            </w:r>
          </w:p>
        </w:tc>
        <w:tc>
          <w:tcPr>
            <w:tcW w:type="dxa" w:w="2000"/>
            <w:shd w:fill="F2F2F2" w:val="clear"/>
            <w:tcMar>
              <w:top w:type="dxa" w:w="60"/>
              <w:left w:type="dxa" w:w="100"/>
              <w:bottom w:type="dxa" w:w="60"/>
              <w:right w:type="dxa" w:w="100"/>
            </w:tcMar>
          </w:tcPr>
          <w:p>
            <w:r>
              <w:rPr>
                <w:b w:val="false"/>
                <w:bCs w:val="false"/>
                <w:sz w:val="20"/>
                <w:szCs w:val="20"/>
              </w:rPr>
              <w:t xml:space="preserve">Encrypt=True; TrustServerCertificate=False</w:t>
            </w:r>
          </w:p>
        </w:tc>
      </w:tr>
      <w:tr>
        <w:tc>
          <w:tcPr>
            <w:tcW w:type="dxa" w:w="4200"/>
            <w:tcMar>
              <w:top w:type="dxa" w:w="60"/>
              <w:left w:type="dxa" w:w="100"/>
              <w:bottom w:type="dxa" w:w="60"/>
              <w:right w:type="dxa" w:w="100"/>
            </w:tcMar>
          </w:tcPr>
          <w:p>
            <w:r>
              <w:rPr>
                <w:b w:val="false"/>
                <w:bCs w:val="false"/>
                <w:sz w:val="20"/>
                <w:szCs w:val="20"/>
              </w:rPr>
              <w:t xml:space="preserve">TDS protected through TLS (SQL)</w:t>
            </w:r>
          </w:p>
        </w:tc>
        <w:tc>
          <w:tcPr>
            <w:tcW w:type="dxa" w:w="1300"/>
            <w:tcMar>
              <w:top w:type="dxa" w:w="60"/>
              <w:left w:type="dxa" w:w="100"/>
              <w:bottom w:type="dxa" w:w="60"/>
              <w:right w:type="dxa" w:w="100"/>
            </w:tcMar>
          </w:tcPr>
          <w:p>
            <w:r>
              <w:rPr>
                <w:b w:val="false"/>
                <w:bCs w:val="false"/>
                <w:sz w:val="20"/>
                <w:szCs w:val="20"/>
              </w:rPr>
              <w:t xml:space="preserve">70</w:t>
            </w:r>
          </w:p>
        </w:tc>
        <w:tc>
          <w:tcPr>
            <w:tcW w:type="dxa" w:w="2200"/>
            <w:tcMar>
              <w:top w:type="dxa" w:w="60"/>
              <w:left w:type="dxa" w:w="100"/>
              <w:bottom w:type="dxa" w:w="60"/>
              <w:right w:type="dxa" w:w="100"/>
            </w:tcMar>
          </w:tcPr>
          <w:p>
            <w:r>
              <w:rPr>
                <w:b w:val="false"/>
                <w:bCs w:val="false"/>
                <w:sz w:val="20"/>
                <w:szCs w:val="20"/>
              </w:rPr>
              <w:t xml:space="preserve">4.3 Data Protection</w:t>
            </w:r>
          </w:p>
        </w:tc>
        <w:tc>
          <w:tcPr>
            <w:tcW w:type="dxa" w:w="2000"/>
            <w:tcMar>
              <w:top w:type="dxa" w:w="60"/>
              <w:left w:type="dxa" w:w="100"/>
              <w:bottom w:type="dxa" w:w="60"/>
              <w:right w:type="dxa" w:w="100"/>
            </w:tcMar>
          </w:tcPr>
          <w:p>
            <w:r>
              <w:rPr>
                <w:b w:val="false"/>
                <w:bCs w:val="false"/>
                <w:sz w:val="20"/>
                <w:szCs w:val="20"/>
              </w:rPr>
              <w:t xml:space="preserve">Pair with Force Encryption work</w:t>
            </w:r>
          </w:p>
        </w:tc>
      </w:tr>
      <w:tr>
        <w:tc>
          <w:tcPr>
            <w:tcW w:type="dxa" w:w="4200"/>
            <w:shd w:fill="F2F2F2" w:val="clear"/>
            <w:tcMar>
              <w:top w:type="dxa" w:w="60"/>
              <w:left w:type="dxa" w:w="100"/>
              <w:bottom w:type="dxa" w:w="60"/>
              <w:right w:type="dxa" w:w="100"/>
            </w:tcMar>
          </w:tcPr>
          <w:p>
            <w:r>
              <w:rPr>
                <w:b w:val="false"/>
                <w:bCs w:val="false"/>
                <w:sz w:val="20"/>
                <w:szCs w:val="20"/>
              </w:rPr>
              <w:t xml:space="preserve">Public network access on Azure SQL should be disabled</w:t>
            </w:r>
          </w:p>
        </w:tc>
        <w:tc>
          <w:tcPr>
            <w:tcW w:type="dxa" w:w="1300"/>
            <w:shd w:fill="F2F2F2" w:val="clear"/>
            <w:tcMar>
              <w:top w:type="dxa" w:w="60"/>
              <w:left w:type="dxa" w:w="100"/>
              <w:bottom w:type="dxa" w:w="60"/>
              <w:right w:type="dxa" w:w="100"/>
            </w:tcMar>
          </w:tcPr>
          <w:p>
            <w:r>
              <w:rPr>
                <w:b w:val="false"/>
                <w:bCs w:val="false"/>
                <w:sz w:val="20"/>
                <w:szCs w:val="20"/>
              </w:rPr>
              <w:t xml:space="preserve">31</w:t>
            </w:r>
          </w:p>
        </w:tc>
        <w:tc>
          <w:tcPr>
            <w:tcW w:type="dxa" w:w="2200"/>
            <w:shd w:fill="F2F2F2" w:val="clear"/>
            <w:tcMar>
              <w:top w:type="dxa" w:w="60"/>
              <w:left w:type="dxa" w:w="100"/>
              <w:bottom w:type="dxa" w:w="60"/>
              <w:right w:type="dxa" w:w="100"/>
            </w:tcMar>
          </w:tcPr>
          <w:p>
            <w:r>
              <w:rPr>
                <w:b w:val="false"/>
                <w:bCs w:val="false"/>
                <w:sz w:val="20"/>
                <w:szCs w:val="20"/>
              </w:rPr>
              <w:t xml:space="preserve">4.2 Network Security</w:t>
            </w:r>
          </w:p>
        </w:tc>
        <w:tc>
          <w:tcPr>
            <w:tcW w:type="dxa" w:w="2000"/>
            <w:shd w:fill="F2F2F2" w:val="clear"/>
            <w:tcMar>
              <w:top w:type="dxa" w:w="60"/>
              <w:left w:type="dxa" w:w="100"/>
              <w:bottom w:type="dxa" w:w="60"/>
              <w:right w:type="dxa" w:w="100"/>
            </w:tcMar>
          </w:tcPr>
          <w:p>
            <w:r>
              <w:rPr>
                <w:b w:val="false"/>
                <w:bCs w:val="false"/>
                <w:sz w:val="20"/>
                <w:szCs w:val="20"/>
              </w:rPr>
              <w:t xml:space="preserve">Private Endpoints; exceptions if required</w:t>
            </w:r>
          </w:p>
        </w:tc>
      </w:tr>
    </w:tbl>
    <w:p>
      <w:pPr>
        <w:spacing w:before="160"/>
      </w:pPr>
      <w:r>
        <w:rPr>
          <w:i/>
          <w:iCs/>
          <w:sz w:val="20"/>
          <w:szCs w:val="20"/>
        </w:rPr>
        <w:t xml:space="preserve">Note: counts are point-in-time from the CSPM console and will be refreshed in the monthly posture report. Several findings collapse to shared root causes (base images, node versions, SQL server baseline), so remediation is planned by root cause, not by individual finding.</w:t>
      </w:r>
    </w:p>
    <w:p>
      <w:pPr>
        <w:pStyle w:val="Heading1"/>
        <w:spacing w:after="160" w:before="360"/>
      </w:pPr>
      <w:r>
        <w:rPr>
          <w:color w:val="1F3864"/>
        </w:rPr>
        <w:t xml:space="preserve">8. Measurement and Roadmap</w:t>
      </w:r>
    </w:p>
    <w:p>
      <w:pPr>
        <w:pStyle w:val="Heading2"/>
        <w:spacing w:after="120" w:before="280"/>
      </w:pPr>
      <w:r>
        <w:rPr>
          <w:color w:val="2E74B5"/>
        </w:rPr>
        <w:t xml:space="preserve">8.1 How we measure</w:t>
      </w:r>
    </w:p>
    <w:p>
      <w:pPr>
        <w:pStyle w:val="ListParagraph"/>
        <w:numPr>
          <w:ilvl w:val="0"/>
          <w:numId w:val="2"/>
        </w:numPr>
        <w:spacing w:after="60"/>
      </w:pPr>
      <w:r>
        <w:t xml:space="preserve">Enable the MCSB v2 initiative in Defender for Cloud's regulatory compliance dashboard across all subscriptions; use it as the automated scorecard for this framework.</w:t>
      </w:r>
    </w:p>
    <w:p>
      <w:pPr>
        <w:pStyle w:val="ListParagraph"/>
        <w:numPr>
          <w:ilvl w:val="0"/>
          <w:numId w:val="2"/>
        </w:numPr>
        <w:spacing w:after="60"/>
      </w:pPr>
      <w:r>
        <w:t xml:space="preserve">Continue the monthly automated posture report (Defender for Cloud, Sentinel, Resource Graph) with trend lines for secure score, High findings, and exception count.</w:t>
      </w:r>
    </w:p>
    <w:p>
      <w:pPr>
        <w:pStyle w:val="ListParagraph"/>
        <w:numPr>
          <w:ilvl w:val="0"/>
          <w:numId w:val="2"/>
        </w:numPr>
        <w:spacing w:after="60"/>
      </w:pPr>
      <w:r>
        <w:t xml:space="preserve">Each quarterly review answers three questions: What closed? What is newly out of standard? Which exceptions expire?</w:t>
      </w:r>
    </w:p>
    <w:p>
      <w:pPr>
        <w:pStyle w:val="Heading2"/>
        <w:spacing w:after="120" w:before="280"/>
      </w:pPr>
      <w:r>
        <w:rPr>
          <w:color w:val="2E74B5"/>
        </w:rPr>
        <w:t xml:space="preserve">8.2 Phased roadmap (indicative)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600"/>
      </w:tblGrid>
      <w:tr>
        <w:trPr>
          <w:tblHeader/>
        </w:trPr>
        <w:tc>
          <w:tcPr>
            <w:tcW w:type="dxa" w:w="1900"/>
            <w:shd w:fill="1F3864" w:val="clear"/>
            <w:tcMar>
              <w:top w:type="dxa" w:w="60"/>
              <w:left w:type="dxa" w:w="100"/>
              <w:bottom w:type="dxa" w:w="60"/>
              <w:right w:type="dxa" w:w="100"/>
            </w:tcMar>
          </w:tcPr>
          <w:p>
            <w:r>
              <w:rPr>
                <w:b/>
                <w:bCs/>
                <w:color w:val="FFFFFF"/>
                <w:sz w:val="20"/>
                <w:szCs w:val="20"/>
              </w:rPr>
              <w:t xml:space="preserve">Phase</w:t>
            </w:r>
          </w:p>
        </w:tc>
        <w:tc>
          <w:tcPr>
            <w:tcW w:type="dxa" w:w="4200"/>
            <w:shd w:fill="1F3864" w:val="clear"/>
            <w:tcMar>
              <w:top w:type="dxa" w:w="60"/>
              <w:left w:type="dxa" w:w="100"/>
              <w:bottom w:type="dxa" w:w="60"/>
              <w:right w:type="dxa" w:w="100"/>
            </w:tcMar>
          </w:tcPr>
          <w:p>
            <w:r>
              <w:rPr>
                <w:b/>
                <w:bCs/>
                <w:color w:val="FFFFFF"/>
                <w:sz w:val="20"/>
                <w:szCs w:val="20"/>
              </w:rPr>
              <w:t xml:space="preserve">Focus</w:t>
            </w:r>
          </w:p>
        </w:tc>
        <w:tc>
          <w:tcPr>
            <w:tcW w:type="dxa" w:w="3600"/>
            <w:shd w:fill="1F3864" w:val="clear"/>
            <w:tcMar>
              <w:top w:type="dxa" w:w="60"/>
              <w:left w:type="dxa" w:w="100"/>
              <w:bottom w:type="dxa" w:w="60"/>
              <w:right w:type="dxa" w:w="100"/>
            </w:tcMar>
          </w:tcPr>
          <w:p>
            <w:r>
              <w:rPr>
                <w:b/>
                <w:bCs/>
                <w:color w:val="FFFFFF"/>
                <w:sz w:val="20"/>
                <w:szCs w:val="20"/>
              </w:rPr>
              <w:t xml:space="preserve">Outcomes</w:t>
            </w:r>
          </w:p>
        </w:tc>
      </w:tr>
      <w:tr>
        <w:tc>
          <w:tcPr>
            <w:tcW w:type="dxa" w:w="1900"/>
            <w:tcMar>
              <w:top w:type="dxa" w:w="60"/>
              <w:left w:type="dxa" w:w="100"/>
              <w:bottom w:type="dxa" w:w="60"/>
              <w:right w:type="dxa" w:w="100"/>
            </w:tcMar>
          </w:tcPr>
          <w:p>
            <w:r>
              <w:rPr>
                <w:b w:val="false"/>
                <w:bCs w:val="false"/>
                <w:sz w:val="20"/>
                <w:szCs w:val="20"/>
              </w:rPr>
              <w:t xml:space="preserve">Phase 1 (0–30 days)</w:t>
            </w:r>
          </w:p>
        </w:tc>
        <w:tc>
          <w:tcPr>
            <w:tcW w:type="dxa" w:w="4200"/>
            <w:tcMar>
              <w:top w:type="dxa" w:w="60"/>
              <w:left w:type="dxa" w:w="100"/>
              <w:bottom w:type="dxa" w:w="60"/>
              <w:right w:type="dxa" w:w="100"/>
            </w:tcMar>
          </w:tcPr>
          <w:p>
            <w:r>
              <w:rPr>
                <w:b w:val="false"/>
                <w:bCs w:val="false"/>
                <w:sz w:val="20"/>
                <w:szCs w:val="20"/>
              </w:rPr>
              <w:t xml:space="preserve">Ratify this document; stand up Exceptions Register; enable MCSB v2 assessment; build the logging matrix (Section 4.6) with the application team</w:t>
            </w:r>
          </w:p>
        </w:tc>
        <w:tc>
          <w:tcPr>
            <w:tcW w:type="dxa" w:w="3600"/>
            <w:tcMar>
              <w:top w:type="dxa" w:w="60"/>
              <w:left w:type="dxa" w:w="100"/>
              <w:bottom w:type="dxa" w:w="60"/>
              <w:right w:type="dxa" w:w="100"/>
            </w:tcMar>
          </w:tcPr>
          <w:p>
            <w:r>
              <w:rPr>
                <w:b w:val="false"/>
                <w:bCs w:val="false"/>
                <w:sz w:val="20"/>
                <w:szCs w:val="20"/>
              </w:rPr>
              <w:t xml:space="preserve">Signed-off v1.0; exceptions for TLS 1.2 services and any justified public SQL access recorded</w:t>
            </w:r>
          </w:p>
        </w:tc>
      </w:tr>
      <w:tr>
        <w:tc>
          <w:tcPr>
            <w:tcW w:type="dxa" w:w="1900"/>
            <w:shd w:fill="F2F2F2" w:val="clear"/>
            <w:tcMar>
              <w:top w:type="dxa" w:w="60"/>
              <w:left w:type="dxa" w:w="100"/>
              <w:bottom w:type="dxa" w:w="60"/>
              <w:right w:type="dxa" w:w="100"/>
            </w:tcMar>
          </w:tcPr>
          <w:p>
            <w:r>
              <w:rPr>
                <w:b w:val="false"/>
                <w:bCs w:val="false"/>
                <w:sz w:val="20"/>
                <w:szCs w:val="20"/>
              </w:rPr>
              <w:t xml:space="preserve">Phase 2 (30–90 days)</w:t>
            </w:r>
          </w:p>
        </w:tc>
        <w:tc>
          <w:tcPr>
            <w:tcW w:type="dxa" w:w="4200"/>
            <w:shd w:fill="F2F2F2" w:val="clear"/>
            <w:tcMar>
              <w:top w:type="dxa" w:w="60"/>
              <w:left w:type="dxa" w:w="100"/>
              <w:bottom w:type="dxa" w:w="60"/>
              <w:right w:type="dxa" w:w="100"/>
            </w:tcMar>
          </w:tcPr>
          <w:p>
            <w:r>
              <w:rPr>
                <w:b w:val="false"/>
                <w:bCs w:val="false"/>
                <w:sz w:val="20"/>
                <w:szCs w:val="20"/>
              </w:rPr>
              <w:t xml:space="preserve">SQL hardening wave (roles, owners, Force Encryption, connection strings); patching rings live in Azure Update Manager; AKS trusted-registry policy to audit</w:t>
            </w:r>
          </w:p>
        </w:tc>
        <w:tc>
          <w:tcPr>
            <w:tcW w:type="dxa" w:w="3600"/>
            <w:shd w:fill="F2F2F2" w:val="clear"/>
            <w:tcMar>
              <w:top w:type="dxa" w:w="60"/>
              <w:left w:type="dxa" w:w="100"/>
              <w:bottom w:type="dxa" w:w="60"/>
              <w:right w:type="dxa" w:w="100"/>
            </w:tcMar>
          </w:tcPr>
          <w:p>
            <w:r>
              <w:rPr>
                <w:b w:val="false"/>
                <w:bCs w:val="false"/>
                <w:sz w:val="20"/>
                <w:szCs w:val="20"/>
              </w:rPr>
              <w:t xml:space="preserve">High-count SQL findings materially reduced; patch compliance reported</w:t>
            </w:r>
          </w:p>
        </w:tc>
      </w:tr>
      <w:tr>
        <w:tc>
          <w:tcPr>
            <w:tcW w:type="dxa" w:w="1900"/>
            <w:tcMar>
              <w:top w:type="dxa" w:w="60"/>
              <w:left w:type="dxa" w:w="100"/>
              <w:bottom w:type="dxa" w:w="60"/>
              <w:right w:type="dxa" w:w="100"/>
            </w:tcMar>
          </w:tcPr>
          <w:p>
            <w:r>
              <w:rPr>
                <w:b w:val="false"/>
                <w:bCs w:val="false"/>
                <w:sz w:val="20"/>
                <w:szCs w:val="20"/>
              </w:rPr>
              <w:t xml:space="preserve">Phase 3 (90–180 days)</w:t>
            </w:r>
          </w:p>
        </w:tc>
        <w:tc>
          <w:tcPr>
            <w:tcW w:type="dxa" w:w="4200"/>
            <w:tcMar>
              <w:top w:type="dxa" w:w="60"/>
              <w:left w:type="dxa" w:w="100"/>
              <w:bottom w:type="dxa" w:w="60"/>
              <w:right w:type="dxa" w:w="100"/>
            </w:tcMar>
          </w:tcPr>
          <w:p>
            <w:r>
              <w:rPr>
                <w:b w:val="false"/>
                <w:bCs w:val="false"/>
                <w:sz w:val="20"/>
                <w:szCs w:val="20"/>
              </w:rPr>
              <w:t xml:space="preserve">AKS wave: version upgrades, workload identity to remove credential automounting, registry policy to deny; storage SAS remediation; legacy protocol removal</w:t>
            </w:r>
          </w:p>
        </w:tc>
        <w:tc>
          <w:tcPr>
            <w:tcW w:type="dxa" w:w="3600"/>
            <w:tcMar>
              <w:top w:type="dxa" w:w="60"/>
              <w:left w:type="dxa" w:w="100"/>
              <w:bottom w:type="dxa" w:w="60"/>
              <w:right w:type="dxa" w:w="100"/>
            </w:tcMar>
          </w:tcPr>
          <w:p>
            <w:r>
              <w:rPr>
                <w:b w:val="false"/>
                <w:bCs w:val="false"/>
                <w:sz w:val="20"/>
                <w:szCs w:val="20"/>
              </w:rPr>
              <w:t xml:space="preserve">Container domains trending to standard; NSG stance documented per environment</w:t>
            </w:r>
          </w:p>
        </w:tc>
      </w:tr>
      <w:tr>
        <w:tc>
          <w:tcPr>
            <w:tcW w:type="dxa" w:w="1900"/>
            <w:shd w:fill="F2F2F2" w:val="clear"/>
            <w:tcMar>
              <w:top w:type="dxa" w:w="60"/>
              <w:left w:type="dxa" w:w="100"/>
              <w:bottom w:type="dxa" w:w="60"/>
              <w:right w:type="dxa" w:w="100"/>
            </w:tcMar>
          </w:tcPr>
          <w:p>
            <w:r>
              <w:rPr>
                <w:b w:val="false"/>
                <w:bCs w:val="false"/>
                <w:sz w:val="20"/>
                <w:szCs w:val="20"/>
              </w:rPr>
              <w:t xml:space="preserve">Ongoing</w:t>
            </w:r>
          </w:p>
        </w:tc>
        <w:tc>
          <w:tcPr>
            <w:tcW w:type="dxa" w:w="4200"/>
            <w:shd w:fill="F2F2F2" w:val="clear"/>
            <w:tcMar>
              <w:top w:type="dxa" w:w="60"/>
              <w:left w:type="dxa" w:w="100"/>
              <w:bottom w:type="dxa" w:w="60"/>
              <w:right w:type="dxa" w:w="100"/>
            </w:tcMar>
          </w:tcPr>
          <w:p>
            <w:r>
              <w:rPr>
                <w:b w:val="false"/>
                <w:bCs w:val="false"/>
                <w:sz w:val="20"/>
                <w:szCs w:val="20"/>
              </w:rPr>
              <w:t xml:space="preserve">Quarterly framework review; root-cause CVE triage; exception renewals</w:t>
            </w:r>
          </w:p>
        </w:tc>
        <w:tc>
          <w:tcPr>
            <w:tcW w:type="dxa" w:w="3600"/>
            <w:shd w:fill="F2F2F2" w:val="clear"/>
            <w:tcMar>
              <w:top w:type="dxa" w:w="60"/>
              <w:left w:type="dxa" w:w="100"/>
              <w:bottom w:type="dxa" w:w="60"/>
              <w:right w:type="dxa" w:w="100"/>
            </w:tcMar>
          </w:tcPr>
          <w:p>
            <w:r>
              <w:rPr>
                <w:b w:val="false"/>
                <w:bCs w:val="false"/>
                <w:sz w:val="20"/>
                <w:szCs w:val="20"/>
              </w:rPr>
              <w:t xml:space="preserve">Secure score trending to agreed target; zero undocumented High risk</w:t>
            </w:r>
          </w:p>
        </w:tc>
      </w:tr>
    </w:tbl>
    <w:p>
      <w:pPr>
        <w:spacing w:before="200"/>
      </w:pPr>
    </w:p>
    <w:p>
      <w:pPr>
        <w:pStyle w:val="Heading1"/>
        <w:spacing w:after="160" w:before="360"/>
      </w:pPr>
      <w:r>
        <w:rPr>
          <w:color w:val="1F3864"/>
        </w:rPr>
        <w:t xml:space="preserve">9. Security Tooling Stack</w:t>
      </w:r>
    </w:p>
    <w:p>
      <w:pPr>
        <w:spacing w:after="120"/>
      </w:pPr>
      <w:r>
        <w:t xml:space="preserve">The controls in this framework are implemented and measured through a defined toolchain. Each tool has a stated purpose so we avoid overlap and know exactly where evidence lives.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200"/>
      </w:tblGrid>
      <w:tr>
        <w:trPr>
          <w:tblHeader/>
        </w:trPr>
        <w:tc>
          <w:tcPr>
            <w:tcW w:type="dxa" w:w="2200"/>
            <w:shd w:fill="1F3864" w:val="clear"/>
            <w:tcMar>
              <w:top w:type="dxa" w:w="60"/>
              <w:left w:type="dxa" w:w="100"/>
              <w:bottom w:type="dxa" w:w="60"/>
              <w:right w:type="dxa" w:w="100"/>
            </w:tcMar>
          </w:tcPr>
          <w:p>
            <w:r>
              <w:rPr>
                <w:b/>
                <w:bCs/>
                <w:color w:val="FFFFFF"/>
                <w:sz w:val="20"/>
                <w:szCs w:val="20"/>
              </w:rPr>
              <w:t xml:space="preserve">Capability</w:t>
            </w:r>
          </w:p>
        </w:tc>
        <w:tc>
          <w:tcPr>
            <w:tcW w:type="dxa" w:w="3300"/>
            <w:shd w:fill="1F3864" w:val="clear"/>
            <w:tcMar>
              <w:top w:type="dxa" w:w="60"/>
              <w:left w:type="dxa" w:w="100"/>
              <w:bottom w:type="dxa" w:w="60"/>
              <w:right w:type="dxa" w:w="100"/>
            </w:tcMar>
          </w:tcPr>
          <w:p>
            <w:r>
              <w:rPr>
                <w:b/>
                <w:bCs/>
                <w:color w:val="FFFFFF"/>
                <w:sz w:val="20"/>
                <w:szCs w:val="20"/>
              </w:rPr>
              <w:t xml:space="preserve">Tool</w:t>
            </w:r>
          </w:p>
        </w:tc>
        <w:tc>
          <w:tcPr>
            <w:tcW w:type="dxa" w:w="4200"/>
            <w:shd w:fill="1F3864" w:val="clear"/>
            <w:tcMar>
              <w:top w:type="dxa" w:w="60"/>
              <w:left w:type="dxa" w:w="100"/>
              <w:bottom w:type="dxa" w:w="60"/>
              <w:right w:type="dxa" w:w="100"/>
            </w:tcMar>
          </w:tcPr>
          <w:p>
            <w:r>
              <w:rPr>
                <w:b/>
                <w:bCs/>
                <w:color w:val="FFFFFF"/>
                <w:sz w:val="20"/>
                <w:szCs w:val="20"/>
              </w:rPr>
              <w:t xml:space="preserve">Purpose in this framework</w:t>
            </w:r>
          </w:p>
        </w:tc>
      </w:tr>
      <w:tr>
        <w:tc>
          <w:tcPr>
            <w:tcW w:type="dxa" w:w="2200"/>
            <w:tcMar>
              <w:top w:type="dxa" w:w="60"/>
              <w:left w:type="dxa" w:w="100"/>
              <w:bottom w:type="dxa" w:w="60"/>
              <w:right w:type="dxa" w:w="100"/>
            </w:tcMar>
          </w:tcPr>
          <w:p>
            <w:r>
              <w:rPr>
                <w:b w:val="false"/>
                <w:bCs w:val="false"/>
                <w:sz w:val="20"/>
                <w:szCs w:val="20"/>
              </w:rPr>
              <w:t xml:space="preserve">CSPM / posture</w:t>
            </w:r>
          </w:p>
        </w:tc>
        <w:tc>
          <w:tcPr>
            <w:tcW w:type="dxa" w:w="3300"/>
            <w:tcMar>
              <w:top w:type="dxa" w:w="60"/>
              <w:left w:type="dxa" w:w="100"/>
              <w:bottom w:type="dxa" w:w="60"/>
              <w:right w:type="dxa" w:w="100"/>
            </w:tcMar>
          </w:tcPr>
          <w:p>
            <w:r>
              <w:rPr>
                <w:b w:val="false"/>
                <w:bCs w:val="false"/>
                <w:sz w:val="20"/>
                <w:szCs w:val="20"/>
              </w:rPr>
              <w:t xml:space="preserve">Microsoft Defender for Cloud (MCSB v2) + Wiz</w:t>
            </w:r>
          </w:p>
        </w:tc>
        <w:tc>
          <w:tcPr>
            <w:tcW w:type="dxa" w:w="4200"/>
            <w:tcMar>
              <w:top w:type="dxa" w:w="60"/>
              <w:left w:type="dxa" w:w="100"/>
              <w:bottom w:type="dxa" w:w="60"/>
              <w:right w:type="dxa" w:w="100"/>
            </w:tcMar>
          </w:tcPr>
          <w:p>
            <w:r>
              <w:rPr>
                <w:b w:val="false"/>
                <w:bCs w:val="false"/>
                <w:sz w:val="20"/>
                <w:szCs w:val="20"/>
              </w:rPr>
              <w:t xml:space="preserve">Continuous assessment against this framework; secure score; regulatory compliance evidence</w:t>
            </w:r>
          </w:p>
        </w:tc>
      </w:tr>
      <w:tr>
        <w:tc>
          <w:tcPr>
            <w:tcW w:type="dxa" w:w="2200"/>
            <w:shd w:fill="F2F2F2" w:val="clear"/>
            <w:tcMar>
              <w:top w:type="dxa" w:w="60"/>
              <w:left w:type="dxa" w:w="100"/>
              <w:bottom w:type="dxa" w:w="60"/>
              <w:right w:type="dxa" w:w="100"/>
            </w:tcMar>
          </w:tcPr>
          <w:p>
            <w:r>
              <w:rPr>
                <w:b w:val="false"/>
                <w:bCs w:val="false"/>
                <w:sz w:val="20"/>
                <w:szCs w:val="20"/>
              </w:rPr>
              <w:t xml:space="preserve">SIEM / SOAR</w:t>
            </w:r>
          </w:p>
        </w:tc>
        <w:tc>
          <w:tcPr>
            <w:tcW w:type="dxa" w:w="3300"/>
            <w:shd w:fill="F2F2F2" w:val="clear"/>
            <w:tcMar>
              <w:top w:type="dxa" w:w="60"/>
              <w:left w:type="dxa" w:w="100"/>
              <w:bottom w:type="dxa" w:w="60"/>
              <w:right w:type="dxa" w:w="100"/>
            </w:tcMar>
          </w:tcPr>
          <w:p>
            <w:r>
              <w:rPr>
                <w:b w:val="false"/>
                <w:bCs w:val="false"/>
                <w:sz w:val="20"/>
                <w:szCs w:val="20"/>
              </w:rPr>
              <w:t xml:space="preserve">Microsoft Sentinel</w:t>
            </w:r>
          </w:p>
        </w:tc>
        <w:tc>
          <w:tcPr>
            <w:tcW w:type="dxa" w:w="4200"/>
            <w:shd w:fill="F2F2F2" w:val="clear"/>
            <w:tcMar>
              <w:top w:type="dxa" w:w="60"/>
              <w:left w:type="dxa" w:w="100"/>
              <w:bottom w:type="dxa" w:w="60"/>
              <w:right w:type="dxa" w:w="100"/>
            </w:tcMar>
          </w:tcPr>
          <w:p>
            <w:r>
              <w:rPr>
                <w:b w:val="false"/>
                <w:bCs w:val="false"/>
                <w:sz w:val="20"/>
                <w:szCs w:val="20"/>
              </w:rPr>
              <w:t xml:space="preserve">Central log platform, analytics rules, incident queue, automation playbooks</w:t>
            </w:r>
          </w:p>
        </w:tc>
      </w:tr>
      <w:tr>
        <w:tc>
          <w:tcPr>
            <w:tcW w:type="dxa" w:w="2200"/>
            <w:tcMar>
              <w:top w:type="dxa" w:w="60"/>
              <w:left w:type="dxa" w:w="100"/>
              <w:bottom w:type="dxa" w:w="60"/>
              <w:right w:type="dxa" w:w="100"/>
            </w:tcMar>
          </w:tcPr>
          <w:p>
            <w:r>
              <w:rPr>
                <w:b w:val="false"/>
                <w:bCs w:val="false"/>
                <w:sz w:val="20"/>
                <w:szCs w:val="20"/>
              </w:rPr>
              <w:t xml:space="preserve">Workload protection</w:t>
            </w:r>
          </w:p>
        </w:tc>
        <w:tc>
          <w:tcPr>
            <w:tcW w:type="dxa" w:w="3300"/>
            <w:tcMar>
              <w:top w:type="dxa" w:w="60"/>
              <w:left w:type="dxa" w:w="100"/>
              <w:bottom w:type="dxa" w:w="60"/>
              <w:right w:type="dxa" w:w="100"/>
            </w:tcMar>
          </w:tcPr>
          <w:p>
            <w:r>
              <w:rPr>
                <w:b w:val="false"/>
                <w:bCs w:val="false"/>
                <w:sz w:val="20"/>
                <w:szCs w:val="20"/>
              </w:rPr>
              <w:t xml:space="preserve">Defender for Servers / Containers / SQL / Storage</w:t>
            </w:r>
          </w:p>
        </w:tc>
        <w:tc>
          <w:tcPr>
            <w:tcW w:type="dxa" w:w="4200"/>
            <w:tcMar>
              <w:top w:type="dxa" w:w="60"/>
              <w:left w:type="dxa" w:w="100"/>
              <w:bottom w:type="dxa" w:w="60"/>
              <w:right w:type="dxa" w:w="100"/>
            </w:tcMar>
          </w:tcPr>
          <w:p>
            <w:r>
              <w:rPr>
                <w:b w:val="false"/>
                <w:bCs w:val="false"/>
                <w:sz w:val="20"/>
                <w:szCs w:val="20"/>
              </w:rPr>
              <w:t xml:space="preserve">Runtime threat detection and vulnerability assessment</w:t>
            </w:r>
          </w:p>
        </w:tc>
      </w:tr>
      <w:tr>
        <w:tc>
          <w:tcPr>
            <w:tcW w:type="dxa" w:w="2200"/>
            <w:shd w:fill="F2F2F2" w:val="clear"/>
            <w:tcMar>
              <w:top w:type="dxa" w:w="60"/>
              <w:left w:type="dxa" w:w="100"/>
              <w:bottom w:type="dxa" w:w="60"/>
              <w:right w:type="dxa" w:w="100"/>
            </w:tcMar>
          </w:tcPr>
          <w:p>
            <w:r>
              <w:rPr>
                <w:b w:val="false"/>
                <w:bCs w:val="false"/>
                <w:sz w:val="20"/>
                <w:szCs w:val="20"/>
              </w:rPr>
              <w:t xml:space="preserve">Patch management</w:t>
            </w:r>
          </w:p>
        </w:tc>
        <w:tc>
          <w:tcPr>
            <w:tcW w:type="dxa" w:w="3300"/>
            <w:shd w:fill="F2F2F2" w:val="clear"/>
            <w:tcMar>
              <w:top w:type="dxa" w:w="60"/>
              <w:left w:type="dxa" w:w="100"/>
              <w:bottom w:type="dxa" w:w="60"/>
              <w:right w:type="dxa" w:w="100"/>
            </w:tcMar>
          </w:tcPr>
          <w:p>
            <w:r>
              <w:rPr>
                <w:b w:val="false"/>
                <w:bCs w:val="false"/>
                <w:sz w:val="20"/>
                <w:szCs w:val="20"/>
              </w:rPr>
              <w:t xml:space="preserve">Azure Update Manager</w:t>
            </w:r>
          </w:p>
        </w:tc>
        <w:tc>
          <w:tcPr>
            <w:tcW w:type="dxa" w:w="4200"/>
            <w:shd w:fill="F2F2F2" w:val="clear"/>
            <w:tcMar>
              <w:top w:type="dxa" w:w="60"/>
              <w:left w:type="dxa" w:w="100"/>
              <w:bottom w:type="dxa" w:w="60"/>
              <w:right w:type="dxa" w:w="100"/>
            </w:tcMar>
          </w:tcPr>
          <w:p>
            <w:r>
              <w:rPr>
                <w:b w:val="false"/>
                <w:bCs w:val="false"/>
                <w:sz w:val="20"/>
                <w:szCs w:val="20"/>
              </w:rPr>
              <w:t xml:space="preserve">Ring-based OS patching with maintenance windows and compliance reporting</w:t>
            </w:r>
          </w:p>
        </w:tc>
      </w:tr>
      <w:tr>
        <w:tc>
          <w:tcPr>
            <w:tcW w:type="dxa" w:w="2200"/>
            <w:tcMar>
              <w:top w:type="dxa" w:w="60"/>
              <w:left w:type="dxa" w:w="100"/>
              <w:bottom w:type="dxa" w:w="60"/>
              <w:right w:type="dxa" w:w="100"/>
            </w:tcMar>
          </w:tcPr>
          <w:p>
            <w:r>
              <w:rPr>
                <w:b w:val="false"/>
                <w:bCs w:val="false"/>
                <w:sz w:val="20"/>
                <w:szCs w:val="20"/>
              </w:rPr>
              <w:t xml:space="preserve">Vulnerability management</w:t>
            </w:r>
          </w:p>
        </w:tc>
        <w:tc>
          <w:tcPr>
            <w:tcW w:type="dxa" w:w="3300"/>
            <w:tcMar>
              <w:top w:type="dxa" w:w="60"/>
              <w:left w:type="dxa" w:w="100"/>
              <w:bottom w:type="dxa" w:w="60"/>
              <w:right w:type="dxa" w:w="100"/>
            </w:tcMar>
          </w:tcPr>
          <w:p>
            <w:r>
              <w:rPr>
                <w:b w:val="false"/>
                <w:bCs w:val="false"/>
                <w:sz w:val="20"/>
                <w:szCs w:val="20"/>
              </w:rPr>
              <w:t xml:space="preserve">Wiz + Tenable + Defender VA</w:t>
            </w:r>
          </w:p>
        </w:tc>
        <w:tc>
          <w:tcPr>
            <w:tcW w:type="dxa" w:w="4200"/>
            <w:tcMar>
              <w:top w:type="dxa" w:w="60"/>
              <w:left w:type="dxa" w:w="100"/>
              <w:bottom w:type="dxa" w:w="60"/>
              <w:right w:type="dxa" w:w="100"/>
            </w:tcMar>
          </w:tcPr>
          <w:p>
            <w:r>
              <w:rPr>
                <w:b w:val="false"/>
                <w:bCs w:val="false"/>
                <w:sz w:val="20"/>
                <w:szCs w:val="20"/>
              </w:rPr>
              <w:t xml:space="preserve">Finding sources feeding the root-cause CVE triage process</w:t>
            </w:r>
          </w:p>
        </w:tc>
      </w:tr>
      <w:tr>
        <w:tc>
          <w:tcPr>
            <w:tcW w:type="dxa" w:w="2200"/>
            <w:shd w:fill="F2F2F2" w:val="clear"/>
            <w:tcMar>
              <w:top w:type="dxa" w:w="60"/>
              <w:left w:type="dxa" w:w="100"/>
              <w:bottom w:type="dxa" w:w="60"/>
              <w:right w:type="dxa" w:w="100"/>
            </w:tcMar>
          </w:tcPr>
          <w:p>
            <w:r>
              <w:rPr>
                <w:b w:val="false"/>
                <w:bCs w:val="false"/>
                <w:sz w:val="20"/>
                <w:szCs w:val="20"/>
              </w:rPr>
              <w:t xml:space="preserve">Policy enforcement</w:t>
            </w:r>
          </w:p>
        </w:tc>
        <w:tc>
          <w:tcPr>
            <w:tcW w:type="dxa" w:w="3300"/>
            <w:shd w:fill="F2F2F2" w:val="clear"/>
            <w:tcMar>
              <w:top w:type="dxa" w:w="60"/>
              <w:left w:type="dxa" w:w="100"/>
              <w:bottom w:type="dxa" w:w="60"/>
              <w:right w:type="dxa" w:w="100"/>
            </w:tcMar>
          </w:tcPr>
          <w:p>
            <w:r>
              <w:rPr>
                <w:b w:val="false"/>
                <w:bCs w:val="false"/>
                <w:sz w:val="20"/>
                <w:szCs w:val="20"/>
              </w:rPr>
              <w:t xml:space="preserve">Azure Policy (+ AKS add-on/Gatekeeper)</w:t>
            </w:r>
          </w:p>
        </w:tc>
        <w:tc>
          <w:tcPr>
            <w:tcW w:type="dxa" w:w="4200"/>
            <w:shd w:fill="F2F2F2" w:val="clear"/>
            <w:tcMar>
              <w:top w:type="dxa" w:w="60"/>
              <w:left w:type="dxa" w:w="100"/>
              <w:bottom w:type="dxa" w:w="60"/>
              <w:right w:type="dxa" w:w="100"/>
            </w:tcMar>
          </w:tcPr>
          <w:p>
            <w:r>
              <w:rPr>
                <w:b w:val="false"/>
                <w:bCs w:val="false"/>
                <w:sz w:val="20"/>
                <w:szCs w:val="20"/>
              </w:rPr>
              <w:t xml:space="preserve">Guardrails: deny/audit misconfigurations at deploy time</w:t>
            </w:r>
          </w:p>
        </w:tc>
      </w:tr>
      <w:tr>
        <w:tc>
          <w:tcPr>
            <w:tcW w:type="dxa" w:w="2200"/>
            <w:tcMar>
              <w:top w:type="dxa" w:w="60"/>
              <w:left w:type="dxa" w:w="100"/>
              <w:bottom w:type="dxa" w:w="60"/>
              <w:right w:type="dxa" w:w="100"/>
            </w:tcMar>
          </w:tcPr>
          <w:p>
            <w:r>
              <w:rPr>
                <w:b w:val="false"/>
                <w:bCs w:val="false"/>
                <w:sz w:val="20"/>
                <w:szCs w:val="20"/>
              </w:rPr>
              <w:t xml:space="preserve">Secrets &amp; keys</w:t>
            </w:r>
          </w:p>
        </w:tc>
        <w:tc>
          <w:tcPr>
            <w:tcW w:type="dxa" w:w="3300"/>
            <w:tcMar>
              <w:top w:type="dxa" w:w="60"/>
              <w:left w:type="dxa" w:w="100"/>
              <w:bottom w:type="dxa" w:w="60"/>
              <w:right w:type="dxa" w:w="100"/>
            </w:tcMar>
          </w:tcPr>
          <w:p>
            <w:r>
              <w:rPr>
                <w:b w:val="false"/>
                <w:bCs w:val="false"/>
                <w:sz w:val="20"/>
                <w:szCs w:val="20"/>
              </w:rPr>
              <w:t xml:space="preserve">Azure Key Vault</w:t>
            </w:r>
          </w:p>
        </w:tc>
        <w:tc>
          <w:tcPr>
            <w:tcW w:type="dxa" w:w="4200"/>
            <w:tcMar>
              <w:top w:type="dxa" w:w="60"/>
              <w:left w:type="dxa" w:w="100"/>
              <w:bottom w:type="dxa" w:w="60"/>
              <w:right w:type="dxa" w:w="100"/>
            </w:tcMar>
          </w:tcPr>
          <w:p>
            <w:r>
              <w:rPr>
                <w:b w:val="false"/>
                <w:bCs w:val="false"/>
                <w:sz w:val="20"/>
                <w:szCs w:val="20"/>
              </w:rPr>
              <w:t xml:space="preserve">Central secrets, keys, certificates with RBAC and logging</w:t>
            </w:r>
          </w:p>
        </w:tc>
      </w:tr>
      <w:tr>
        <w:tc>
          <w:tcPr>
            <w:tcW w:type="dxa" w:w="2200"/>
            <w:shd w:fill="F2F2F2" w:val="clear"/>
            <w:tcMar>
              <w:top w:type="dxa" w:w="60"/>
              <w:left w:type="dxa" w:w="100"/>
              <w:bottom w:type="dxa" w:w="60"/>
              <w:right w:type="dxa" w:w="100"/>
            </w:tcMar>
          </w:tcPr>
          <w:p>
            <w:r>
              <w:rPr>
                <w:b w:val="false"/>
                <w:bCs w:val="false"/>
                <w:sz w:val="20"/>
                <w:szCs w:val="20"/>
              </w:rPr>
              <w:t xml:space="preserve">DAST</w:t>
            </w:r>
          </w:p>
        </w:tc>
        <w:tc>
          <w:tcPr>
            <w:tcW w:type="dxa" w:w="3300"/>
            <w:shd w:fill="F2F2F2" w:val="clear"/>
            <w:tcMar>
              <w:top w:type="dxa" w:w="60"/>
              <w:left w:type="dxa" w:w="100"/>
              <w:bottom w:type="dxa" w:w="60"/>
              <w:right w:type="dxa" w:w="100"/>
            </w:tcMar>
          </w:tcPr>
          <w:p>
            <w:r>
              <w:rPr>
                <w:b w:val="false"/>
                <w:bCs w:val="false"/>
                <w:sz w:val="20"/>
                <w:szCs w:val="20"/>
              </w:rPr>
              <w:t xml:space="preserve">OWASP ZAP (ADO pipeline)</w:t>
            </w:r>
          </w:p>
        </w:tc>
        <w:tc>
          <w:tcPr>
            <w:tcW w:type="dxa" w:w="4200"/>
            <w:shd w:fill="F2F2F2" w:val="clear"/>
            <w:tcMar>
              <w:top w:type="dxa" w:w="60"/>
              <w:left w:type="dxa" w:w="100"/>
              <w:bottom w:type="dxa" w:w="60"/>
              <w:right w:type="dxa" w:w="100"/>
            </w:tcMar>
          </w:tcPr>
          <w:p>
            <w:r>
              <w:rPr>
                <w:b w:val="false"/>
                <w:bCs w:val="false"/>
                <w:sz w:val="20"/>
                <w:szCs w:val="20"/>
              </w:rPr>
              <w:t xml:space="preserve">Authenticated and unauthenticated scans of exposed services</w:t>
            </w:r>
          </w:p>
        </w:tc>
      </w:tr>
      <w:tr>
        <w:tc>
          <w:tcPr>
            <w:tcW w:type="dxa" w:w="2200"/>
            <w:tcMar>
              <w:top w:type="dxa" w:w="60"/>
              <w:left w:type="dxa" w:w="100"/>
              <w:bottom w:type="dxa" w:w="60"/>
              <w:right w:type="dxa" w:w="100"/>
            </w:tcMar>
          </w:tcPr>
          <w:p>
            <w:r>
              <w:rPr>
                <w:b w:val="false"/>
                <w:bCs w:val="false"/>
                <w:sz w:val="20"/>
                <w:szCs w:val="20"/>
              </w:rPr>
              <w:t xml:space="preserve">Dependency hygiene</w:t>
            </w:r>
          </w:p>
        </w:tc>
        <w:tc>
          <w:tcPr>
            <w:tcW w:type="dxa" w:w="3300"/>
            <w:tcMar>
              <w:top w:type="dxa" w:w="60"/>
              <w:left w:type="dxa" w:w="100"/>
              <w:bottom w:type="dxa" w:w="60"/>
              <w:right w:type="dxa" w:w="100"/>
            </w:tcMar>
          </w:tcPr>
          <w:p>
            <w:r>
              <w:rPr>
                <w:b w:val="false"/>
                <w:bCs w:val="false"/>
                <w:sz w:val="20"/>
                <w:szCs w:val="20"/>
              </w:rPr>
              <w:t xml:space="preserve">Renovate + ACR scheduled rebuilds</w:t>
            </w:r>
          </w:p>
        </w:tc>
        <w:tc>
          <w:tcPr>
            <w:tcW w:type="dxa" w:w="4200"/>
            <w:tcMar>
              <w:top w:type="dxa" w:w="60"/>
              <w:left w:type="dxa" w:w="100"/>
              <w:bottom w:type="dxa" w:w="60"/>
              <w:right w:type="dxa" w:w="100"/>
            </w:tcMar>
          </w:tcPr>
          <w:p>
            <w:r>
              <w:rPr>
                <w:b w:val="false"/>
                <w:bCs w:val="false"/>
                <w:sz w:val="20"/>
                <w:szCs w:val="20"/>
              </w:rPr>
              <w:t xml:space="preserve">Root-cause remediation of image and library CVEs</w:t>
            </w:r>
          </w:p>
        </w:tc>
      </w:tr>
      <w:tr>
        <w:tc>
          <w:tcPr>
            <w:tcW w:type="dxa" w:w="2200"/>
            <w:shd w:fill="F2F2F2" w:val="clear"/>
            <w:tcMar>
              <w:top w:type="dxa" w:w="60"/>
              <w:left w:type="dxa" w:w="100"/>
              <w:bottom w:type="dxa" w:w="60"/>
              <w:right w:type="dxa" w:w="100"/>
            </w:tcMar>
          </w:tcPr>
          <w:p>
            <w:r>
              <w:rPr>
                <w:b w:val="false"/>
                <w:bCs w:val="false"/>
                <w:sz w:val="20"/>
                <w:szCs w:val="20"/>
              </w:rPr>
              <w:t xml:space="preserve">Identity governance</w:t>
            </w:r>
          </w:p>
        </w:tc>
        <w:tc>
          <w:tcPr>
            <w:tcW w:type="dxa" w:w="3300"/>
            <w:shd w:fill="F2F2F2" w:val="clear"/>
            <w:tcMar>
              <w:top w:type="dxa" w:w="60"/>
              <w:left w:type="dxa" w:w="100"/>
              <w:bottom w:type="dxa" w:w="60"/>
              <w:right w:type="dxa" w:w="100"/>
            </w:tcMar>
          </w:tcPr>
          <w:p>
            <w:r>
              <w:rPr>
                <w:b w:val="false"/>
                <w:bCs w:val="false"/>
                <w:sz w:val="20"/>
                <w:szCs w:val="20"/>
              </w:rPr>
              <w:t xml:space="preserve">Entra ID PIM + access review automation (PowerShell/HTML sign-off)</w:t>
            </w:r>
          </w:p>
        </w:tc>
        <w:tc>
          <w:tcPr>
            <w:tcW w:type="dxa" w:w="4200"/>
            <w:shd w:fill="F2F2F2" w:val="clear"/>
            <w:tcMar>
              <w:top w:type="dxa" w:w="60"/>
              <w:left w:type="dxa" w:w="100"/>
              <w:bottom w:type="dxa" w:w="60"/>
              <w:right w:type="dxa" w:w="100"/>
            </w:tcMar>
          </w:tcPr>
          <w:p>
            <w:r>
              <w:rPr>
                <w:b w:val="false"/>
                <w:bCs w:val="false"/>
                <w:sz w:val="20"/>
                <w:szCs w:val="20"/>
              </w:rPr>
              <w:t xml:space="preserve">JIT privilege and evidenced quarterly reviews</w:t>
            </w:r>
          </w:p>
        </w:tc>
      </w:tr>
      <w:tr>
        <w:tc>
          <w:tcPr>
            <w:tcW w:type="dxa" w:w="2200"/>
            <w:tcMar>
              <w:top w:type="dxa" w:w="60"/>
              <w:left w:type="dxa" w:w="100"/>
              <w:bottom w:type="dxa" w:w="60"/>
              <w:right w:type="dxa" w:w="100"/>
            </w:tcMar>
          </w:tcPr>
          <w:p>
            <w:r>
              <w:rPr>
                <w:b w:val="false"/>
                <w:bCs w:val="false"/>
                <w:sz w:val="20"/>
                <w:szCs w:val="20"/>
              </w:rPr>
              <w:t xml:space="preserve">Reporting</w:t>
            </w:r>
          </w:p>
        </w:tc>
        <w:tc>
          <w:tcPr>
            <w:tcW w:type="dxa" w:w="3300"/>
            <w:tcMar>
              <w:top w:type="dxa" w:w="60"/>
              <w:left w:type="dxa" w:w="100"/>
              <w:bottom w:type="dxa" w:w="60"/>
              <w:right w:type="dxa" w:w="100"/>
            </w:tcMar>
          </w:tcPr>
          <w:p>
            <w:r>
              <w:rPr>
                <w:b w:val="false"/>
                <w:bCs w:val="false"/>
                <w:sz w:val="20"/>
                <w:szCs w:val="20"/>
              </w:rPr>
              <w:t xml:space="preserve">PowerShell posture report (Defender/Sentinel/Resource Graph)</w:t>
            </w:r>
          </w:p>
        </w:tc>
        <w:tc>
          <w:tcPr>
            <w:tcW w:type="dxa" w:w="4200"/>
            <w:tcMar>
              <w:top w:type="dxa" w:w="60"/>
              <w:left w:type="dxa" w:w="100"/>
              <w:bottom w:type="dxa" w:w="60"/>
              <w:right w:type="dxa" w:w="100"/>
            </w:tcMar>
          </w:tcPr>
          <w:p>
            <w:r>
              <w:rPr>
                <w:b w:val="false"/>
                <w:bCs w:val="false"/>
                <w:sz w:val="20"/>
                <w:szCs w:val="20"/>
              </w:rPr>
              <w:t xml:space="preserve">Monthly executive view of score, findings and trends</w:t>
            </w:r>
          </w:p>
        </w:tc>
      </w:tr>
    </w:tbl>
    <w:p>
      <w:pPr>
        <w:spacing w:before="200"/>
      </w:pPr>
    </w:p>
    <w:p>
      <w:pPr>
        <w:pStyle w:val="Heading1"/>
        <w:spacing w:after="160" w:before="360"/>
      </w:pPr>
      <w:r>
        <w:rPr>
          <w:color w:val="1F3864"/>
        </w:rPr>
        <w:t xml:space="preserve">10. Incident Response Alignment</w:t>
      </w:r>
    </w:p>
    <w:p>
      <w:pPr>
        <w:spacing w:after="120"/>
      </w:pPr>
      <w:r>
        <w:t xml:space="preserve">Detection without response is theatre. The framework aligns to the NIST incident response lifecycle, executed through Sentinel:</w:t>
      </w:r>
    </w:p>
    <w:p>
      <w:pPr>
        <w:pStyle w:val="ListParagraph"/>
        <w:numPr>
          <w:ilvl w:val="0"/>
          <w:numId w:val="2"/>
        </w:numPr>
        <w:spacing w:after="60"/>
      </w:pPr>
      <w:r>
        <w:rPr>
          <w:b/>
          <w:bCs/>
        </w:rPr>
        <w:t xml:space="preserve">Prepare: </w:t>
      </w:r>
      <w:r>
        <w:t xml:space="preserve">runbooks per scenario (compromised identity, ransomware, data exfiltration, exposed key/secret, container escape); contact tree; severity matrix; annual tabletop exercise.</w:t>
      </w:r>
    </w:p>
    <w:p>
      <w:pPr>
        <w:pStyle w:val="ListParagraph"/>
        <w:numPr>
          <w:ilvl w:val="0"/>
          <w:numId w:val="2"/>
        </w:numPr>
        <w:spacing w:after="60"/>
      </w:pPr>
      <w:r>
        <w:rPr>
          <w:b/>
          <w:bCs/>
        </w:rPr>
        <w:t xml:space="preserve">Detect &amp; analyse: </w:t>
      </w:r>
      <w:r>
        <w:t xml:space="preserve">Sentinel analytics + Defender alerts triaged against the severity matrix; open-incident ageing tracked (visible today in the CSPM console and monthly report).</w:t>
      </w:r>
    </w:p>
    <w:p>
      <w:pPr>
        <w:pStyle w:val="ListParagraph"/>
        <w:numPr>
          <w:ilvl w:val="0"/>
          <w:numId w:val="2"/>
        </w:numPr>
        <w:spacing w:after="60"/>
      </w:pPr>
      <w:r>
        <w:rPr>
          <w:b/>
          <w:bCs/>
        </w:rPr>
        <w:t xml:space="preserve">Contain, eradicate, recover: </w:t>
      </w:r>
      <w:r>
        <w:t xml:space="preserve">pre-approved containment actions (disable account, isolate VM, revoke sessions, rotate secret, block IP at Firewall) executable by the on-call engineer without escalation delay; recovery leans on the immutable backups in Section 4.11.</w:t>
      </w:r>
    </w:p>
    <w:p>
      <w:pPr>
        <w:pStyle w:val="ListParagraph"/>
        <w:numPr>
          <w:ilvl w:val="0"/>
          <w:numId w:val="2"/>
        </w:numPr>
        <w:spacing w:after="60"/>
      </w:pPr>
      <w:r>
        <w:rPr>
          <w:b/>
          <w:bCs/>
        </w:rPr>
        <w:t xml:space="preserve">Post-incident: </w:t>
      </w:r>
      <w:r>
        <w:t xml:space="preserve">blameless review within 5 business days; actions feed back into this framework (new standard, new detection, or new exception).</w:t>
      </w:r>
    </w:p>
    <w:p>
      <w:pPr>
        <w:pStyle w:val="ListParagraph"/>
        <w:numPr>
          <w:ilvl w:val="0"/>
          <w:numId w:val="2"/>
        </w:numPr>
        <w:spacing w:after="60"/>
      </w:pPr>
      <w:r>
        <w:rPr>
          <w:b/>
          <w:bCs/>
        </w:rPr>
        <w:t xml:space="preserve">Severity SLAs (baseline): </w:t>
      </w:r>
      <w:r>
        <w:t xml:space="preserve">Sev1 – respond 30 min, update hourly; Sev2 – respond 2 hrs; Sev3 – next business day. To be ratified at sign-off.</w:t>
      </w:r>
    </w:p>
    <w:p>
      <w:pPr>
        <w:pStyle w:val="Heading1"/>
        <w:spacing w:after="160" w:before="360"/>
      </w:pPr>
      <w:r>
        <w:rPr>
          <w:color w:val="1F3864"/>
        </w:rPr>
        <w:t xml:space="preserve">11. Roles and Responsibilities (RACI)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1500"/>
        <w:gridCol w:w="1500"/>
        <w:gridCol w:w="1700"/>
      </w:tblGrid>
      <w:tr>
        <w:trPr>
          <w:tblHeader/>
        </w:trPr>
        <w:tc>
          <w:tcPr>
            <w:tcW w:type="dxa" w:w="3100"/>
            <w:shd w:fill="1F3864" w:val="clear"/>
            <w:tcMar>
              <w:top w:type="dxa" w:w="60"/>
              <w:left w:type="dxa" w:w="100"/>
              <w:bottom w:type="dxa" w:w="60"/>
              <w:right w:type="dxa" w:w="100"/>
            </w:tcMar>
          </w:tcPr>
          <w:p>
            <w:r>
              <w:rPr>
                <w:b/>
                <w:bCs/>
                <w:color w:val="FFFFFF"/>
                <w:sz w:val="20"/>
                <w:szCs w:val="20"/>
              </w:rPr>
              <w:t xml:space="preserve">Activity</w:t>
            </w:r>
          </w:p>
        </w:tc>
        <w:tc>
          <w:tcPr>
            <w:tcW w:type="dxa" w:w="1900"/>
            <w:shd w:fill="1F3864" w:val="clear"/>
            <w:tcMar>
              <w:top w:type="dxa" w:w="60"/>
              <w:left w:type="dxa" w:w="100"/>
              <w:bottom w:type="dxa" w:w="60"/>
              <w:right w:type="dxa" w:w="100"/>
            </w:tcMar>
          </w:tcPr>
          <w:p>
            <w:r>
              <w:rPr>
                <w:b/>
                <w:bCs/>
                <w:color w:val="FFFFFF"/>
                <w:sz w:val="20"/>
                <w:szCs w:val="20"/>
              </w:rPr>
              <w:t xml:space="preserve">Cloud Ops / Security</w:t>
            </w:r>
          </w:p>
        </w:tc>
        <w:tc>
          <w:tcPr>
            <w:tcW w:type="dxa" w:w="1500"/>
            <w:shd w:fill="1F3864" w:val="clear"/>
            <w:tcMar>
              <w:top w:type="dxa" w:w="60"/>
              <w:left w:type="dxa" w:w="100"/>
              <w:bottom w:type="dxa" w:w="60"/>
              <w:right w:type="dxa" w:w="100"/>
            </w:tcMar>
          </w:tcPr>
          <w:p>
            <w:r>
              <w:rPr>
                <w:b/>
                <w:bCs/>
                <w:color w:val="FFFFFF"/>
                <w:sz w:val="20"/>
                <w:szCs w:val="20"/>
              </w:rPr>
              <w:t xml:space="preserve">App Team</w:t>
            </w:r>
          </w:p>
        </w:tc>
        <w:tc>
          <w:tcPr>
            <w:tcW w:type="dxa" w:w="1500"/>
            <w:shd w:fill="1F3864" w:val="clear"/>
            <w:tcMar>
              <w:top w:type="dxa" w:w="60"/>
              <w:left w:type="dxa" w:w="100"/>
              <w:bottom w:type="dxa" w:w="60"/>
              <w:right w:type="dxa" w:w="100"/>
            </w:tcMar>
          </w:tcPr>
          <w:p>
            <w:r>
              <w:rPr>
                <w:b/>
                <w:bCs/>
                <w:color w:val="FFFFFF"/>
                <w:sz w:val="20"/>
                <w:szCs w:val="20"/>
              </w:rPr>
              <w:t xml:space="preserve">Infra Team</w:t>
            </w:r>
          </w:p>
        </w:tc>
        <w:tc>
          <w:tcPr>
            <w:tcW w:type="dxa" w:w="1700"/>
            <w:shd w:fill="1F3864" w:val="clear"/>
            <w:tcMar>
              <w:top w:type="dxa" w:w="60"/>
              <w:left w:type="dxa" w:w="100"/>
              <w:bottom w:type="dxa" w:w="60"/>
              <w:right w:type="dxa" w:w="100"/>
            </w:tcMar>
          </w:tcPr>
          <w:p>
            <w:r>
              <w:rPr>
                <w:b/>
                <w:bCs/>
                <w:color w:val="FFFFFF"/>
                <w:sz w:val="20"/>
                <w:szCs w:val="20"/>
              </w:rPr>
              <w:t xml:space="preserve">ITBS / Leadership</w:t>
            </w:r>
          </w:p>
        </w:tc>
      </w:tr>
      <w:tr>
        <w:tc>
          <w:tcPr>
            <w:tcW w:type="dxa" w:w="3100"/>
            <w:tcMar>
              <w:top w:type="dxa" w:w="60"/>
              <w:left w:type="dxa" w:w="100"/>
              <w:bottom w:type="dxa" w:w="60"/>
              <w:right w:type="dxa" w:w="100"/>
            </w:tcMar>
          </w:tcPr>
          <w:p>
            <w:r>
              <w:rPr>
                <w:b w:val="false"/>
                <w:bCs w:val="false"/>
                <w:sz w:val="20"/>
                <w:szCs w:val="20"/>
              </w:rPr>
              <w:t xml:space="preserve">Maintain this framework</w:t>
            </w:r>
          </w:p>
        </w:tc>
        <w:tc>
          <w:tcPr>
            <w:tcW w:type="dxa" w:w="1900"/>
            <w:tcMar>
              <w:top w:type="dxa" w:w="60"/>
              <w:left w:type="dxa" w:w="100"/>
              <w:bottom w:type="dxa" w:w="60"/>
              <w:right w:type="dxa" w:w="100"/>
            </w:tcMar>
          </w:tcPr>
          <w:p>
            <w:r>
              <w:rPr>
                <w:b w:val="false"/>
                <w:bCs w:val="false"/>
                <w:sz w:val="20"/>
                <w:szCs w:val="20"/>
              </w:rPr>
              <w:t xml:space="preserve">R/A</w:t>
            </w:r>
          </w:p>
        </w:tc>
        <w:tc>
          <w:tcPr>
            <w:tcW w:type="dxa" w:w="1500"/>
            <w:tcMar>
              <w:top w:type="dxa" w:w="60"/>
              <w:left w:type="dxa" w:w="100"/>
              <w:bottom w:type="dxa" w:w="60"/>
              <w:right w:type="dxa" w:w="100"/>
            </w:tcMar>
          </w:tcPr>
          <w:p>
            <w:r>
              <w:rPr>
                <w:b w:val="false"/>
                <w:bCs w:val="false"/>
                <w:sz w:val="20"/>
                <w:szCs w:val="20"/>
              </w:rPr>
              <w:t xml:space="preserve">C</w:t>
            </w:r>
          </w:p>
        </w:tc>
        <w:tc>
          <w:tcPr>
            <w:tcW w:type="dxa" w:w="1500"/>
            <w:tcMar>
              <w:top w:type="dxa" w:w="60"/>
              <w:left w:type="dxa" w:w="100"/>
              <w:bottom w:type="dxa" w:w="60"/>
              <w:right w:type="dxa" w:w="100"/>
            </w:tcMar>
          </w:tcPr>
          <w:p>
            <w:r>
              <w:rPr>
                <w:b w:val="false"/>
                <w:bCs w:val="false"/>
                <w:sz w:val="20"/>
                <w:szCs w:val="20"/>
              </w:rPr>
              <w:t xml:space="preserve">C</w:t>
            </w:r>
          </w:p>
        </w:tc>
        <w:tc>
          <w:tcPr>
            <w:tcW w:type="dxa" w:w="1700"/>
            <w:tcMar>
              <w:top w:type="dxa" w:w="60"/>
              <w:left w:type="dxa" w:w="100"/>
              <w:bottom w:type="dxa" w:w="60"/>
              <w:right w:type="dxa" w:w="100"/>
            </w:tcMar>
          </w:tcPr>
          <w:p>
            <w:r>
              <w:rPr>
                <w:b w:val="false"/>
                <w:bCs w:val="false"/>
                <w:sz w:val="20"/>
                <w:szCs w:val="20"/>
              </w:rPr>
              <w:t xml:space="preserve">I</w:t>
            </w:r>
          </w:p>
        </w:tc>
      </w:tr>
      <w:tr>
        <w:tc>
          <w:tcPr>
            <w:tcW w:type="dxa" w:w="3100"/>
            <w:shd w:fill="F2F2F2" w:val="clear"/>
            <w:tcMar>
              <w:top w:type="dxa" w:w="60"/>
              <w:left w:type="dxa" w:w="100"/>
              <w:bottom w:type="dxa" w:w="60"/>
              <w:right w:type="dxa" w:w="100"/>
            </w:tcMar>
          </w:tcPr>
          <w:p>
            <w:r>
              <w:rPr>
                <w:b w:val="false"/>
                <w:bCs w:val="false"/>
                <w:sz w:val="20"/>
                <w:szCs w:val="20"/>
              </w:rPr>
              <w:t xml:space="preserve">Sign off framework versions</w:t>
            </w:r>
          </w:p>
        </w:tc>
        <w:tc>
          <w:tcPr>
            <w:tcW w:type="dxa" w:w="1900"/>
            <w:shd w:fill="F2F2F2" w:val="clear"/>
            <w:tcMar>
              <w:top w:type="dxa" w:w="60"/>
              <w:left w:type="dxa" w:w="100"/>
              <w:bottom w:type="dxa" w:w="60"/>
              <w:right w:type="dxa" w:w="100"/>
            </w:tcMar>
          </w:tcPr>
          <w:p>
            <w:r>
              <w:rPr>
                <w:b w:val="false"/>
                <w:bCs w:val="false"/>
                <w:sz w:val="20"/>
                <w:szCs w:val="20"/>
              </w:rPr>
              <w:t xml:space="preserve">C</w:t>
            </w:r>
          </w:p>
        </w:tc>
        <w:tc>
          <w:tcPr>
            <w:tcW w:type="dxa" w:w="1500"/>
            <w:shd w:fill="F2F2F2" w:val="clear"/>
            <w:tcMar>
              <w:top w:type="dxa" w:w="60"/>
              <w:left w:type="dxa" w:w="100"/>
              <w:bottom w:type="dxa" w:w="60"/>
              <w:right w:type="dxa" w:w="100"/>
            </w:tcMar>
          </w:tcPr>
          <w:p>
            <w:r>
              <w:rPr>
                <w:b w:val="false"/>
                <w:bCs w:val="false"/>
                <w:sz w:val="20"/>
                <w:szCs w:val="20"/>
              </w:rPr>
              <w:t xml:space="preserve">C</w:t>
            </w:r>
          </w:p>
        </w:tc>
        <w:tc>
          <w:tcPr>
            <w:tcW w:type="dxa" w:w="1500"/>
            <w:shd w:fill="F2F2F2" w:val="clear"/>
            <w:tcMar>
              <w:top w:type="dxa" w:w="60"/>
              <w:left w:type="dxa" w:w="100"/>
              <w:bottom w:type="dxa" w:w="60"/>
              <w:right w:type="dxa" w:w="100"/>
            </w:tcMar>
          </w:tcPr>
          <w:p>
            <w:r>
              <w:rPr>
                <w:b w:val="false"/>
                <w:bCs w:val="false"/>
                <w:sz w:val="20"/>
                <w:szCs w:val="20"/>
              </w:rPr>
              <w:t xml:space="preserve">C</w:t>
            </w:r>
          </w:p>
        </w:tc>
        <w:tc>
          <w:tcPr>
            <w:tcW w:type="dxa" w:w="1700"/>
            <w:shd w:fill="F2F2F2" w:val="clear"/>
            <w:tcMar>
              <w:top w:type="dxa" w:w="60"/>
              <w:left w:type="dxa" w:w="100"/>
              <w:bottom w:type="dxa" w:w="60"/>
              <w:right w:type="dxa" w:w="100"/>
            </w:tcMar>
          </w:tcPr>
          <w:p>
            <w:r>
              <w:rPr>
                <w:b w:val="false"/>
                <w:bCs w:val="false"/>
                <w:sz w:val="20"/>
                <w:szCs w:val="20"/>
              </w:rPr>
              <w:t xml:space="preserve">A</w:t>
            </w:r>
          </w:p>
        </w:tc>
      </w:tr>
      <w:tr>
        <w:tc>
          <w:tcPr>
            <w:tcW w:type="dxa" w:w="3100"/>
            <w:tcMar>
              <w:top w:type="dxa" w:w="60"/>
              <w:left w:type="dxa" w:w="100"/>
              <w:bottom w:type="dxa" w:w="60"/>
              <w:right w:type="dxa" w:w="100"/>
            </w:tcMar>
          </w:tcPr>
          <w:p>
            <w:r>
              <w:rPr>
                <w:b w:val="false"/>
                <w:bCs w:val="false"/>
                <w:sz w:val="20"/>
                <w:szCs w:val="20"/>
              </w:rPr>
              <w:t xml:space="preserve">Remediate CSPM findings</w:t>
            </w:r>
          </w:p>
        </w:tc>
        <w:tc>
          <w:tcPr>
            <w:tcW w:type="dxa" w:w="1900"/>
            <w:tcMar>
              <w:top w:type="dxa" w:w="60"/>
              <w:left w:type="dxa" w:w="100"/>
              <w:bottom w:type="dxa" w:w="60"/>
              <w:right w:type="dxa" w:w="100"/>
            </w:tcMar>
          </w:tcPr>
          <w:p>
            <w:r>
              <w:rPr>
                <w:b w:val="false"/>
                <w:bCs w:val="false"/>
                <w:sz w:val="20"/>
                <w:szCs w:val="20"/>
              </w:rPr>
              <w:t xml:space="preserve">R</w:t>
            </w:r>
          </w:p>
        </w:tc>
        <w:tc>
          <w:tcPr>
            <w:tcW w:type="dxa" w:w="1500"/>
            <w:tcMar>
              <w:top w:type="dxa" w:w="60"/>
              <w:left w:type="dxa" w:w="100"/>
              <w:bottom w:type="dxa" w:w="60"/>
              <w:right w:type="dxa" w:w="100"/>
            </w:tcMar>
          </w:tcPr>
          <w:p>
            <w:r>
              <w:rPr>
                <w:b w:val="false"/>
                <w:bCs w:val="false"/>
                <w:sz w:val="20"/>
                <w:szCs w:val="20"/>
              </w:rPr>
              <w:t xml:space="preserve">R (app-layer)</w:t>
            </w:r>
          </w:p>
        </w:tc>
        <w:tc>
          <w:tcPr>
            <w:tcW w:type="dxa" w:w="1500"/>
            <w:tcMar>
              <w:top w:type="dxa" w:w="60"/>
              <w:left w:type="dxa" w:w="100"/>
              <w:bottom w:type="dxa" w:w="60"/>
              <w:right w:type="dxa" w:w="100"/>
            </w:tcMar>
          </w:tcPr>
          <w:p>
            <w:r>
              <w:rPr>
                <w:b w:val="false"/>
                <w:bCs w:val="false"/>
                <w:sz w:val="20"/>
                <w:szCs w:val="20"/>
              </w:rPr>
              <w:t xml:space="preserve">R (infra-layer)</w:t>
            </w:r>
          </w:p>
        </w:tc>
        <w:tc>
          <w:tcPr>
            <w:tcW w:type="dxa" w:w="1700"/>
            <w:tcMar>
              <w:top w:type="dxa" w:w="60"/>
              <w:left w:type="dxa" w:w="100"/>
              <w:bottom w:type="dxa" w:w="60"/>
              <w:right w:type="dxa" w:w="100"/>
            </w:tcMar>
          </w:tcPr>
          <w:p>
            <w:r>
              <w:rPr>
                <w:b w:val="false"/>
                <w:bCs w:val="false"/>
                <w:sz w:val="20"/>
                <w:szCs w:val="20"/>
              </w:rPr>
              <w:t xml:space="preserve">I</w:t>
            </w:r>
          </w:p>
        </w:tc>
      </w:tr>
      <w:tr>
        <w:tc>
          <w:tcPr>
            <w:tcW w:type="dxa" w:w="3100"/>
            <w:shd w:fill="F2F2F2" w:val="clear"/>
            <w:tcMar>
              <w:top w:type="dxa" w:w="60"/>
              <w:left w:type="dxa" w:w="100"/>
              <w:bottom w:type="dxa" w:w="60"/>
              <w:right w:type="dxa" w:w="100"/>
            </w:tcMar>
          </w:tcPr>
          <w:p>
            <w:r>
              <w:rPr>
                <w:b w:val="false"/>
                <w:bCs w:val="false"/>
                <w:sz w:val="20"/>
                <w:szCs w:val="20"/>
              </w:rPr>
              <w:t xml:space="preserve">Approve risk exceptions</w:t>
            </w:r>
          </w:p>
        </w:tc>
        <w:tc>
          <w:tcPr>
            <w:tcW w:type="dxa" w:w="1900"/>
            <w:shd w:fill="F2F2F2" w:val="clear"/>
            <w:tcMar>
              <w:top w:type="dxa" w:w="60"/>
              <w:left w:type="dxa" w:w="100"/>
              <w:bottom w:type="dxa" w:w="60"/>
              <w:right w:type="dxa" w:w="100"/>
            </w:tcMar>
          </w:tcPr>
          <w:p>
            <w:r>
              <w:rPr>
                <w:b w:val="false"/>
                <w:bCs w:val="false"/>
                <w:sz w:val="20"/>
                <w:szCs w:val="20"/>
              </w:rPr>
              <w:t xml:space="preserve">R (record)</w:t>
            </w:r>
          </w:p>
        </w:tc>
        <w:tc>
          <w:tcPr>
            <w:tcW w:type="dxa" w:w="1500"/>
            <w:shd w:fill="F2F2F2" w:val="clear"/>
            <w:tcMar>
              <w:top w:type="dxa" w:w="60"/>
              <w:left w:type="dxa" w:w="100"/>
              <w:bottom w:type="dxa" w:w="60"/>
              <w:right w:type="dxa" w:w="100"/>
            </w:tcMar>
          </w:tcPr>
          <w:p>
            <w:r>
              <w:rPr>
                <w:b w:val="false"/>
                <w:bCs w:val="false"/>
                <w:sz w:val="20"/>
                <w:szCs w:val="20"/>
              </w:rPr>
              <w:t xml:space="preserve">C</w:t>
            </w:r>
          </w:p>
        </w:tc>
        <w:tc>
          <w:tcPr>
            <w:tcW w:type="dxa" w:w="1500"/>
            <w:shd w:fill="F2F2F2" w:val="clear"/>
            <w:tcMar>
              <w:top w:type="dxa" w:w="60"/>
              <w:left w:type="dxa" w:w="100"/>
              <w:bottom w:type="dxa" w:w="60"/>
              <w:right w:type="dxa" w:w="100"/>
            </w:tcMar>
          </w:tcPr>
          <w:p>
            <w:r>
              <w:rPr>
                <w:b w:val="false"/>
                <w:bCs w:val="false"/>
                <w:sz w:val="20"/>
                <w:szCs w:val="20"/>
              </w:rPr>
              <w:t xml:space="preserve">C</w:t>
            </w:r>
          </w:p>
        </w:tc>
        <w:tc>
          <w:tcPr>
            <w:tcW w:type="dxa" w:w="1700"/>
            <w:shd w:fill="F2F2F2" w:val="clear"/>
            <w:tcMar>
              <w:top w:type="dxa" w:w="60"/>
              <w:left w:type="dxa" w:w="100"/>
              <w:bottom w:type="dxa" w:w="60"/>
              <w:right w:type="dxa" w:w="100"/>
            </w:tcMar>
          </w:tcPr>
          <w:p>
            <w:r>
              <w:rPr>
                <w:b w:val="false"/>
                <w:bCs w:val="false"/>
                <w:sz w:val="20"/>
                <w:szCs w:val="20"/>
              </w:rPr>
              <w:t xml:space="preserve">A</w:t>
            </w:r>
          </w:p>
        </w:tc>
      </w:tr>
      <w:tr>
        <w:tc>
          <w:tcPr>
            <w:tcW w:type="dxa" w:w="3100"/>
            <w:tcMar>
              <w:top w:type="dxa" w:w="60"/>
              <w:left w:type="dxa" w:w="100"/>
              <w:bottom w:type="dxa" w:w="60"/>
              <w:right w:type="dxa" w:w="100"/>
            </w:tcMar>
          </w:tcPr>
          <w:p>
            <w:r>
              <w:rPr>
                <w:b w:val="false"/>
                <w:bCs w:val="false"/>
                <w:sz w:val="20"/>
                <w:szCs w:val="20"/>
              </w:rPr>
              <w:t xml:space="preserve">Patching execution</w:t>
            </w:r>
          </w:p>
        </w:tc>
        <w:tc>
          <w:tcPr>
            <w:tcW w:type="dxa" w:w="1900"/>
            <w:tcMar>
              <w:top w:type="dxa" w:w="60"/>
              <w:left w:type="dxa" w:w="100"/>
              <w:bottom w:type="dxa" w:w="60"/>
              <w:right w:type="dxa" w:w="100"/>
            </w:tcMar>
          </w:tcPr>
          <w:p>
            <w:r>
              <w:rPr>
                <w:b w:val="false"/>
                <w:bCs w:val="false"/>
                <w:sz w:val="20"/>
                <w:szCs w:val="20"/>
              </w:rPr>
              <w:t xml:space="preserve">A</w:t>
            </w:r>
          </w:p>
        </w:tc>
        <w:tc>
          <w:tcPr>
            <w:tcW w:type="dxa" w:w="1500"/>
            <w:tcMar>
              <w:top w:type="dxa" w:w="60"/>
              <w:left w:type="dxa" w:w="100"/>
              <w:bottom w:type="dxa" w:w="60"/>
              <w:right w:type="dxa" w:w="100"/>
            </w:tcMar>
          </w:tcPr>
          <w:p>
            <w:r>
              <w:rPr>
                <w:b w:val="false"/>
                <w:bCs w:val="false"/>
                <w:sz w:val="20"/>
                <w:szCs w:val="20"/>
              </w:rPr>
              <w:t xml:space="preserve">C</w:t>
            </w:r>
          </w:p>
        </w:tc>
        <w:tc>
          <w:tcPr>
            <w:tcW w:type="dxa" w:w="1500"/>
            <w:tcMar>
              <w:top w:type="dxa" w:w="60"/>
              <w:left w:type="dxa" w:w="100"/>
              <w:bottom w:type="dxa" w:w="60"/>
              <w:right w:type="dxa" w:w="100"/>
            </w:tcMar>
          </w:tcPr>
          <w:p>
            <w:r>
              <w:rPr>
                <w:b w:val="false"/>
                <w:bCs w:val="false"/>
                <w:sz w:val="20"/>
                <w:szCs w:val="20"/>
              </w:rPr>
              <w:t xml:space="preserve">R</w:t>
            </w:r>
          </w:p>
        </w:tc>
        <w:tc>
          <w:tcPr>
            <w:tcW w:type="dxa" w:w="1700"/>
            <w:tcMar>
              <w:top w:type="dxa" w:w="60"/>
              <w:left w:type="dxa" w:w="100"/>
              <w:bottom w:type="dxa" w:w="60"/>
              <w:right w:type="dxa" w:w="100"/>
            </w:tcMar>
          </w:tcPr>
          <w:p>
            <w:r>
              <w:rPr>
                <w:b w:val="false"/>
                <w:bCs w:val="false"/>
                <w:sz w:val="20"/>
                <w:szCs w:val="20"/>
              </w:rPr>
              <w:t xml:space="preserve">I</w:t>
            </w:r>
          </w:p>
        </w:tc>
      </w:tr>
      <w:tr>
        <w:tc>
          <w:tcPr>
            <w:tcW w:type="dxa" w:w="3100"/>
            <w:shd w:fill="F2F2F2" w:val="clear"/>
            <w:tcMar>
              <w:top w:type="dxa" w:w="60"/>
              <w:left w:type="dxa" w:w="100"/>
              <w:bottom w:type="dxa" w:w="60"/>
              <w:right w:type="dxa" w:w="100"/>
            </w:tcMar>
          </w:tcPr>
          <w:p>
            <w:r>
              <w:rPr>
                <w:b w:val="false"/>
                <w:bCs w:val="false"/>
                <w:sz w:val="20"/>
                <w:szCs w:val="20"/>
              </w:rPr>
              <w:t xml:space="preserve">AKS upgrades &amp; registry policy</w:t>
            </w:r>
          </w:p>
        </w:tc>
        <w:tc>
          <w:tcPr>
            <w:tcW w:type="dxa" w:w="1900"/>
            <w:shd w:fill="F2F2F2" w:val="clear"/>
            <w:tcMar>
              <w:top w:type="dxa" w:w="60"/>
              <w:left w:type="dxa" w:w="100"/>
              <w:bottom w:type="dxa" w:w="60"/>
              <w:right w:type="dxa" w:w="100"/>
            </w:tcMar>
          </w:tcPr>
          <w:p>
            <w:r>
              <w:rPr>
                <w:b w:val="false"/>
                <w:bCs w:val="false"/>
                <w:sz w:val="20"/>
                <w:szCs w:val="20"/>
              </w:rPr>
              <w:t xml:space="preserve">R/A</w:t>
            </w:r>
          </w:p>
        </w:tc>
        <w:tc>
          <w:tcPr>
            <w:tcW w:type="dxa" w:w="1500"/>
            <w:shd w:fill="F2F2F2" w:val="clear"/>
            <w:tcMar>
              <w:top w:type="dxa" w:w="60"/>
              <w:left w:type="dxa" w:w="100"/>
              <w:bottom w:type="dxa" w:w="60"/>
              <w:right w:type="dxa" w:w="100"/>
            </w:tcMar>
          </w:tcPr>
          <w:p>
            <w:r>
              <w:rPr>
                <w:b w:val="false"/>
                <w:bCs w:val="false"/>
                <w:sz w:val="20"/>
                <w:szCs w:val="20"/>
              </w:rPr>
              <w:t xml:space="preserve">C</w:t>
            </w:r>
          </w:p>
        </w:tc>
        <w:tc>
          <w:tcPr>
            <w:tcW w:type="dxa" w:w="1500"/>
            <w:shd w:fill="F2F2F2" w:val="clear"/>
            <w:tcMar>
              <w:top w:type="dxa" w:w="60"/>
              <w:left w:type="dxa" w:w="100"/>
              <w:bottom w:type="dxa" w:w="60"/>
              <w:right w:type="dxa" w:w="100"/>
            </w:tcMar>
          </w:tcPr>
          <w:p>
            <w:r>
              <w:rPr>
                <w:b w:val="false"/>
                <w:bCs w:val="false"/>
                <w:sz w:val="20"/>
                <w:szCs w:val="20"/>
              </w:rPr>
              <w:t xml:space="preserve">C</w:t>
            </w:r>
          </w:p>
        </w:tc>
        <w:tc>
          <w:tcPr>
            <w:tcW w:type="dxa" w:w="1700"/>
            <w:shd w:fill="F2F2F2" w:val="clear"/>
            <w:tcMar>
              <w:top w:type="dxa" w:w="60"/>
              <w:left w:type="dxa" w:w="100"/>
              <w:bottom w:type="dxa" w:w="60"/>
              <w:right w:type="dxa" w:w="100"/>
            </w:tcMar>
          </w:tcPr>
          <w:p>
            <w:r>
              <w:rPr>
                <w:b w:val="false"/>
                <w:bCs w:val="false"/>
                <w:sz w:val="20"/>
                <w:szCs w:val="20"/>
              </w:rPr>
              <w:t xml:space="preserve">I</w:t>
            </w:r>
          </w:p>
        </w:tc>
      </w:tr>
      <w:tr>
        <w:tc>
          <w:tcPr>
            <w:tcW w:type="dxa" w:w="3100"/>
            <w:tcMar>
              <w:top w:type="dxa" w:w="60"/>
              <w:left w:type="dxa" w:w="100"/>
              <w:bottom w:type="dxa" w:w="60"/>
              <w:right w:type="dxa" w:w="100"/>
            </w:tcMar>
          </w:tcPr>
          <w:p>
            <w:r>
              <w:rPr>
                <w:b w:val="false"/>
                <w:bCs w:val="false"/>
                <w:sz w:val="20"/>
                <w:szCs w:val="20"/>
              </w:rPr>
              <w:t xml:space="preserve">Logging matrix completeness</w:t>
            </w:r>
          </w:p>
        </w:tc>
        <w:tc>
          <w:tcPr>
            <w:tcW w:type="dxa" w:w="1900"/>
            <w:tcMar>
              <w:top w:type="dxa" w:w="60"/>
              <w:left w:type="dxa" w:w="100"/>
              <w:bottom w:type="dxa" w:w="60"/>
              <w:right w:type="dxa" w:w="100"/>
            </w:tcMar>
          </w:tcPr>
          <w:p>
            <w:r>
              <w:rPr>
                <w:b w:val="false"/>
                <w:bCs w:val="false"/>
                <w:sz w:val="20"/>
                <w:szCs w:val="20"/>
              </w:rPr>
              <w:t xml:space="preserve">A</w:t>
            </w:r>
          </w:p>
        </w:tc>
        <w:tc>
          <w:tcPr>
            <w:tcW w:type="dxa" w:w="1500"/>
            <w:tcMar>
              <w:top w:type="dxa" w:w="60"/>
              <w:left w:type="dxa" w:w="100"/>
              <w:bottom w:type="dxa" w:w="60"/>
              <w:right w:type="dxa" w:w="100"/>
            </w:tcMar>
          </w:tcPr>
          <w:p>
            <w:r>
              <w:rPr>
                <w:b w:val="false"/>
                <w:bCs w:val="false"/>
                <w:sz w:val="20"/>
                <w:szCs w:val="20"/>
              </w:rPr>
              <w:t xml:space="preserve">R (app events)</w:t>
            </w:r>
          </w:p>
        </w:tc>
        <w:tc>
          <w:tcPr>
            <w:tcW w:type="dxa" w:w="1500"/>
            <w:tcMar>
              <w:top w:type="dxa" w:w="60"/>
              <w:left w:type="dxa" w:w="100"/>
              <w:bottom w:type="dxa" w:w="60"/>
              <w:right w:type="dxa" w:w="100"/>
            </w:tcMar>
          </w:tcPr>
          <w:p>
            <w:r>
              <w:rPr>
                <w:b w:val="false"/>
                <w:bCs w:val="false"/>
                <w:sz w:val="20"/>
                <w:szCs w:val="20"/>
              </w:rPr>
              <w:t xml:space="preserve">R (infra events)</w:t>
            </w:r>
          </w:p>
        </w:tc>
        <w:tc>
          <w:tcPr>
            <w:tcW w:type="dxa" w:w="1700"/>
            <w:tcMar>
              <w:top w:type="dxa" w:w="60"/>
              <w:left w:type="dxa" w:w="100"/>
              <w:bottom w:type="dxa" w:w="60"/>
              <w:right w:type="dxa" w:w="100"/>
            </w:tcMar>
          </w:tcPr>
          <w:p>
            <w:r>
              <w:rPr>
                <w:b w:val="false"/>
                <w:bCs w:val="false"/>
                <w:sz w:val="20"/>
                <w:szCs w:val="20"/>
              </w:rPr>
              <w:t xml:space="preserve">I</w:t>
            </w:r>
          </w:p>
        </w:tc>
      </w:tr>
      <w:tr>
        <w:tc>
          <w:tcPr>
            <w:tcW w:type="dxa" w:w="3100"/>
            <w:shd w:fill="F2F2F2" w:val="clear"/>
            <w:tcMar>
              <w:top w:type="dxa" w:w="60"/>
              <w:left w:type="dxa" w:w="100"/>
              <w:bottom w:type="dxa" w:w="60"/>
              <w:right w:type="dxa" w:w="100"/>
            </w:tcMar>
          </w:tcPr>
          <w:p>
            <w:r>
              <w:rPr>
                <w:b w:val="false"/>
                <w:bCs w:val="false"/>
                <w:sz w:val="20"/>
                <w:szCs w:val="20"/>
              </w:rPr>
              <w:t xml:space="preserve">Incident response (Sev1/2)</w:t>
            </w:r>
          </w:p>
        </w:tc>
        <w:tc>
          <w:tcPr>
            <w:tcW w:type="dxa" w:w="1900"/>
            <w:shd w:fill="F2F2F2" w:val="clear"/>
            <w:tcMar>
              <w:top w:type="dxa" w:w="60"/>
              <w:left w:type="dxa" w:w="100"/>
              <w:bottom w:type="dxa" w:w="60"/>
              <w:right w:type="dxa" w:w="100"/>
            </w:tcMar>
          </w:tcPr>
          <w:p>
            <w:r>
              <w:rPr>
                <w:b w:val="false"/>
                <w:bCs w:val="false"/>
                <w:sz w:val="20"/>
                <w:szCs w:val="20"/>
              </w:rPr>
              <w:t xml:space="preserve">R/A</w:t>
            </w:r>
          </w:p>
        </w:tc>
        <w:tc>
          <w:tcPr>
            <w:tcW w:type="dxa" w:w="1500"/>
            <w:shd w:fill="F2F2F2" w:val="clear"/>
            <w:tcMar>
              <w:top w:type="dxa" w:w="60"/>
              <w:left w:type="dxa" w:w="100"/>
              <w:bottom w:type="dxa" w:w="60"/>
              <w:right w:type="dxa" w:w="100"/>
            </w:tcMar>
          </w:tcPr>
          <w:p>
            <w:r>
              <w:rPr>
                <w:b w:val="false"/>
                <w:bCs w:val="false"/>
                <w:sz w:val="20"/>
                <w:szCs w:val="20"/>
              </w:rPr>
              <w:t xml:space="preserve">C</w:t>
            </w:r>
          </w:p>
        </w:tc>
        <w:tc>
          <w:tcPr>
            <w:tcW w:type="dxa" w:w="1500"/>
            <w:shd w:fill="F2F2F2" w:val="clear"/>
            <w:tcMar>
              <w:top w:type="dxa" w:w="60"/>
              <w:left w:type="dxa" w:w="100"/>
              <w:bottom w:type="dxa" w:w="60"/>
              <w:right w:type="dxa" w:w="100"/>
            </w:tcMar>
          </w:tcPr>
          <w:p>
            <w:r>
              <w:rPr>
                <w:b w:val="false"/>
                <w:bCs w:val="false"/>
                <w:sz w:val="20"/>
                <w:szCs w:val="20"/>
              </w:rPr>
              <w:t xml:space="preserve">C</w:t>
            </w:r>
          </w:p>
        </w:tc>
        <w:tc>
          <w:tcPr>
            <w:tcW w:type="dxa" w:w="1700"/>
            <w:shd w:fill="F2F2F2" w:val="clear"/>
            <w:tcMar>
              <w:top w:type="dxa" w:w="60"/>
              <w:left w:type="dxa" w:w="100"/>
              <w:bottom w:type="dxa" w:w="60"/>
              <w:right w:type="dxa" w:w="100"/>
            </w:tcMar>
          </w:tcPr>
          <w:p>
            <w:r>
              <w:rPr>
                <w:b w:val="false"/>
                <w:bCs w:val="false"/>
                <w:sz w:val="20"/>
                <w:szCs w:val="20"/>
              </w:rPr>
              <w:t xml:space="preserve">I (informed immediately)</w:t>
            </w:r>
          </w:p>
        </w:tc>
      </w:tr>
      <w:tr>
        <w:tc>
          <w:tcPr>
            <w:tcW w:type="dxa" w:w="3100"/>
            <w:tcMar>
              <w:top w:type="dxa" w:w="60"/>
              <w:left w:type="dxa" w:w="100"/>
              <w:bottom w:type="dxa" w:w="60"/>
              <w:right w:type="dxa" w:w="100"/>
            </w:tcMar>
          </w:tcPr>
          <w:p>
            <w:r>
              <w:rPr>
                <w:b w:val="false"/>
                <w:bCs w:val="false"/>
                <w:sz w:val="20"/>
                <w:szCs w:val="20"/>
              </w:rPr>
              <w:t xml:space="preserve">Access reviews</w:t>
            </w:r>
          </w:p>
        </w:tc>
        <w:tc>
          <w:tcPr>
            <w:tcW w:type="dxa" w:w="1900"/>
            <w:tcMar>
              <w:top w:type="dxa" w:w="60"/>
              <w:left w:type="dxa" w:w="100"/>
              <w:bottom w:type="dxa" w:w="60"/>
              <w:right w:type="dxa" w:w="100"/>
            </w:tcMar>
          </w:tcPr>
          <w:p>
            <w:r>
              <w:rPr>
                <w:b w:val="false"/>
                <w:bCs w:val="false"/>
                <w:sz w:val="20"/>
                <w:szCs w:val="20"/>
              </w:rPr>
              <w:t xml:space="preserve">R/A</w:t>
            </w:r>
          </w:p>
        </w:tc>
        <w:tc>
          <w:tcPr>
            <w:tcW w:type="dxa" w:w="1500"/>
            <w:tcMar>
              <w:top w:type="dxa" w:w="60"/>
              <w:left w:type="dxa" w:w="100"/>
              <w:bottom w:type="dxa" w:w="60"/>
              <w:right w:type="dxa" w:w="100"/>
            </w:tcMar>
          </w:tcPr>
          <w:p>
            <w:r>
              <w:rPr>
                <w:b w:val="false"/>
                <w:bCs w:val="false"/>
                <w:sz w:val="20"/>
                <w:szCs w:val="20"/>
              </w:rPr>
              <w:t xml:space="preserve">C</w:t>
            </w:r>
          </w:p>
        </w:tc>
        <w:tc>
          <w:tcPr>
            <w:tcW w:type="dxa" w:w="1500"/>
            <w:tcMar>
              <w:top w:type="dxa" w:w="60"/>
              <w:left w:type="dxa" w:w="100"/>
              <w:bottom w:type="dxa" w:w="60"/>
              <w:right w:type="dxa" w:w="100"/>
            </w:tcMar>
          </w:tcPr>
          <w:p>
            <w:r>
              <w:rPr>
                <w:b w:val="false"/>
                <w:bCs w:val="false"/>
                <w:sz w:val="20"/>
                <w:szCs w:val="20"/>
              </w:rPr>
              <w:t xml:space="preserve">C</w:t>
            </w:r>
          </w:p>
        </w:tc>
        <w:tc>
          <w:tcPr>
            <w:tcW w:type="dxa" w:w="1700"/>
            <w:tcMar>
              <w:top w:type="dxa" w:w="60"/>
              <w:left w:type="dxa" w:w="100"/>
              <w:bottom w:type="dxa" w:w="60"/>
              <w:right w:type="dxa" w:w="100"/>
            </w:tcMar>
          </w:tcPr>
          <w:p>
            <w:r>
              <w:rPr>
                <w:b w:val="false"/>
                <w:bCs w:val="false"/>
                <w:sz w:val="20"/>
                <w:szCs w:val="20"/>
              </w:rPr>
              <w:t xml:space="preserve">I</w:t>
            </w:r>
          </w:p>
        </w:tc>
      </w:tr>
      <w:tr>
        <w:tc>
          <w:tcPr>
            <w:tcW w:type="dxa" w:w="3100"/>
            <w:shd w:fill="F2F2F2" w:val="clear"/>
            <w:tcMar>
              <w:top w:type="dxa" w:w="60"/>
              <w:left w:type="dxa" w:w="100"/>
              <w:bottom w:type="dxa" w:w="60"/>
              <w:right w:type="dxa" w:w="100"/>
            </w:tcMar>
          </w:tcPr>
          <w:p>
            <w:r>
              <w:rPr>
                <w:b w:val="false"/>
                <w:bCs w:val="false"/>
                <w:sz w:val="20"/>
                <w:szCs w:val="20"/>
              </w:rPr>
              <w:t xml:space="preserve">Backup &amp; restore testing</w:t>
            </w:r>
          </w:p>
        </w:tc>
        <w:tc>
          <w:tcPr>
            <w:tcW w:type="dxa" w:w="1900"/>
            <w:shd w:fill="F2F2F2" w:val="clear"/>
            <w:tcMar>
              <w:top w:type="dxa" w:w="60"/>
              <w:left w:type="dxa" w:w="100"/>
              <w:bottom w:type="dxa" w:w="60"/>
              <w:right w:type="dxa" w:w="100"/>
            </w:tcMar>
          </w:tcPr>
          <w:p>
            <w:r>
              <w:rPr>
                <w:b w:val="false"/>
                <w:bCs w:val="false"/>
                <w:sz w:val="20"/>
                <w:szCs w:val="20"/>
              </w:rPr>
              <w:t xml:space="preserve">A</w:t>
            </w:r>
          </w:p>
        </w:tc>
        <w:tc>
          <w:tcPr>
            <w:tcW w:type="dxa" w:w="1500"/>
            <w:shd w:fill="F2F2F2" w:val="clear"/>
            <w:tcMar>
              <w:top w:type="dxa" w:w="60"/>
              <w:left w:type="dxa" w:w="100"/>
              <w:bottom w:type="dxa" w:w="60"/>
              <w:right w:type="dxa" w:w="100"/>
            </w:tcMar>
          </w:tcPr>
          <w:p>
            <w:r>
              <w:rPr>
                <w:b w:val="false"/>
                <w:bCs w:val="false"/>
                <w:sz w:val="20"/>
                <w:szCs w:val="20"/>
              </w:rPr>
              <w:t xml:space="preserve">C</w:t>
            </w:r>
          </w:p>
        </w:tc>
        <w:tc>
          <w:tcPr>
            <w:tcW w:type="dxa" w:w="1500"/>
            <w:shd w:fill="F2F2F2" w:val="clear"/>
            <w:tcMar>
              <w:top w:type="dxa" w:w="60"/>
              <w:left w:type="dxa" w:w="100"/>
              <w:bottom w:type="dxa" w:w="60"/>
              <w:right w:type="dxa" w:w="100"/>
            </w:tcMar>
          </w:tcPr>
          <w:p>
            <w:r>
              <w:rPr>
                <w:b w:val="false"/>
                <w:bCs w:val="false"/>
                <w:sz w:val="20"/>
                <w:szCs w:val="20"/>
              </w:rPr>
              <w:t xml:space="preserve">R</w:t>
            </w:r>
          </w:p>
        </w:tc>
        <w:tc>
          <w:tcPr>
            <w:tcW w:type="dxa" w:w="1700"/>
            <w:shd w:fill="F2F2F2" w:val="clear"/>
            <w:tcMar>
              <w:top w:type="dxa" w:w="60"/>
              <w:left w:type="dxa" w:w="100"/>
              <w:bottom w:type="dxa" w:w="60"/>
              <w:right w:type="dxa" w:w="100"/>
            </w:tcMar>
          </w:tcPr>
          <w:p>
            <w:r>
              <w:rPr>
                <w:b w:val="false"/>
                <w:bCs w:val="false"/>
                <w:sz w:val="20"/>
                <w:szCs w:val="20"/>
              </w:rPr>
              <w:t xml:space="preserve">I</w:t>
            </w:r>
          </w:p>
        </w:tc>
      </w:tr>
    </w:tbl>
    <w:p>
      <w:pPr>
        <w:spacing w:after="120" w:before="120"/>
      </w:pPr>
      <w:r>
        <w:rPr>
          <w:i/>
          <w:iCs/>
          <w:sz w:val="20"/>
          <w:szCs w:val="20"/>
        </w:rPr>
        <w:t xml:space="preserve">R = Responsible, A = Accountable, C = Consulted, I = Informed. Named individuals to be assigned at sign-off.</w:t>
      </w:r>
    </w:p>
    <w:p>
      <w:pPr>
        <w:pStyle w:val="Heading1"/>
        <w:spacing w:after="160" w:before="360"/>
      </w:pPr>
      <w:r>
        <w:rPr>
          <w:color w:val="1F3864"/>
        </w:rPr>
        <w:t xml:space="preserve">12. Metrics and KPIs</w:t>
      </w:r>
    </w:p>
    <w:p>
      <w:pPr>
        <w:spacing w:after="120"/>
      </w:pPr>
      <w:r>
        <w:t xml:space="preserve">What gets measured gets managed. The monthly posture report tracks these against agreed targets; the quarterly review adjusts targets as the estate matures.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300"/>
        <w:gridCol w:w="2700"/>
        <w:gridCol w:w="2700"/>
      </w:tblGrid>
      <w:tr>
        <w:trPr>
          <w:tblHeader/>
        </w:trPr>
        <w:tc>
          <w:tcPr>
            <w:tcW w:type="dxa" w:w="4300"/>
            <w:shd w:fill="1F3864" w:val="clear"/>
            <w:tcMar>
              <w:top w:type="dxa" w:w="60"/>
              <w:left w:type="dxa" w:w="100"/>
              <w:bottom w:type="dxa" w:w="60"/>
              <w:right w:type="dxa" w:w="100"/>
            </w:tcMar>
          </w:tcPr>
          <w:p>
            <w:r>
              <w:rPr>
                <w:b/>
                <w:bCs/>
                <w:color w:val="FFFFFF"/>
                <w:sz w:val="20"/>
                <w:szCs w:val="20"/>
              </w:rPr>
              <w:t xml:space="preserve">Metric</w:t>
            </w:r>
          </w:p>
        </w:tc>
        <w:tc>
          <w:tcPr>
            <w:tcW w:type="dxa" w:w="2700"/>
            <w:shd w:fill="1F3864" w:val="clear"/>
            <w:tcMar>
              <w:top w:type="dxa" w:w="60"/>
              <w:left w:type="dxa" w:w="100"/>
              <w:bottom w:type="dxa" w:w="60"/>
              <w:right w:type="dxa" w:w="100"/>
            </w:tcMar>
          </w:tcPr>
          <w:p>
            <w:r>
              <w:rPr>
                <w:b/>
                <w:bCs/>
                <w:color w:val="FFFFFF"/>
                <w:sz w:val="20"/>
                <w:szCs w:val="20"/>
              </w:rPr>
              <w:t xml:space="preserve">Current (indicative)</w:t>
            </w:r>
          </w:p>
        </w:tc>
        <w:tc>
          <w:tcPr>
            <w:tcW w:type="dxa" w:w="2700"/>
            <w:shd w:fill="1F3864" w:val="clear"/>
            <w:tcMar>
              <w:top w:type="dxa" w:w="60"/>
              <w:left w:type="dxa" w:w="100"/>
              <w:bottom w:type="dxa" w:w="60"/>
              <w:right w:type="dxa" w:w="100"/>
            </w:tcMar>
          </w:tcPr>
          <w:p>
            <w:r>
              <w:rPr>
                <w:b/>
                <w:bCs/>
                <w:color w:val="FFFFFF"/>
                <w:sz w:val="20"/>
                <w:szCs w:val="20"/>
              </w:rPr>
              <w:t xml:space="preserve">12-month target</w:t>
            </w:r>
          </w:p>
        </w:tc>
      </w:tr>
      <w:tr>
        <w:tc>
          <w:tcPr>
            <w:tcW w:type="dxa" w:w="4300"/>
            <w:tcMar>
              <w:top w:type="dxa" w:w="60"/>
              <w:left w:type="dxa" w:w="100"/>
              <w:bottom w:type="dxa" w:w="60"/>
              <w:right w:type="dxa" w:w="100"/>
            </w:tcMar>
          </w:tcPr>
          <w:p>
            <w:r>
              <w:rPr>
                <w:b w:val="false"/>
                <w:bCs w:val="false"/>
                <w:sz w:val="20"/>
                <w:szCs w:val="20"/>
              </w:rPr>
              <w:t xml:space="preserve">Defender for Cloud secure score</w:t>
            </w:r>
          </w:p>
        </w:tc>
        <w:tc>
          <w:tcPr>
            <w:tcW w:type="dxa" w:w="2700"/>
            <w:tcMar>
              <w:top w:type="dxa" w:w="60"/>
              <w:left w:type="dxa" w:w="100"/>
              <w:bottom w:type="dxa" w:w="60"/>
              <w:right w:type="dxa" w:w="100"/>
            </w:tcMar>
          </w:tcPr>
          <w:p>
            <w:r>
              <w:rPr>
                <w:b w:val="false"/>
                <w:bCs w:val="false"/>
                <w:sz w:val="20"/>
                <w:szCs w:val="20"/>
              </w:rPr>
              <w:t xml:space="preserve">~54%</w:t>
            </w:r>
          </w:p>
        </w:tc>
        <w:tc>
          <w:tcPr>
            <w:tcW w:type="dxa" w:w="2700"/>
            <w:tcMar>
              <w:top w:type="dxa" w:w="60"/>
              <w:left w:type="dxa" w:w="100"/>
              <w:bottom w:type="dxa" w:w="60"/>
              <w:right w:type="dxa" w:w="100"/>
            </w:tcMar>
          </w:tcPr>
          <w:p>
            <w:r>
              <w:rPr>
                <w:b w:val="false"/>
                <w:bCs w:val="false"/>
                <w:sz w:val="20"/>
                <w:szCs w:val="20"/>
              </w:rPr>
              <w:t xml:space="preserve">≥ 75%</w:t>
            </w:r>
          </w:p>
        </w:tc>
      </w:tr>
      <w:tr>
        <w:tc>
          <w:tcPr>
            <w:tcW w:type="dxa" w:w="4300"/>
            <w:shd w:fill="F2F2F2" w:val="clear"/>
            <w:tcMar>
              <w:top w:type="dxa" w:w="60"/>
              <w:left w:type="dxa" w:w="100"/>
              <w:bottom w:type="dxa" w:w="60"/>
              <w:right w:type="dxa" w:w="100"/>
            </w:tcMar>
          </w:tcPr>
          <w:p>
            <w:r>
              <w:rPr>
                <w:b w:val="false"/>
                <w:bCs w:val="false"/>
                <w:sz w:val="20"/>
                <w:szCs w:val="20"/>
              </w:rPr>
              <w:t xml:space="preserve">High findings (Wiz/Defender)</w:t>
            </w:r>
          </w:p>
        </w:tc>
        <w:tc>
          <w:tcPr>
            <w:tcW w:type="dxa" w:w="2700"/>
            <w:shd w:fill="F2F2F2" w:val="clear"/>
            <w:tcMar>
              <w:top w:type="dxa" w:w="60"/>
              <w:left w:type="dxa" w:w="100"/>
              <w:bottom w:type="dxa" w:w="60"/>
              <w:right w:type="dxa" w:w="100"/>
            </w:tcMar>
          </w:tcPr>
          <w:p>
            <w:r>
              <w:rPr>
                <w:b w:val="false"/>
                <w:bCs w:val="false"/>
                <w:sz w:val="20"/>
                <w:szCs w:val="20"/>
              </w:rPr>
              <w:t xml:space="preserve">51,000+ raw / collapsing by root cause</w:t>
            </w:r>
          </w:p>
        </w:tc>
        <w:tc>
          <w:tcPr>
            <w:tcW w:type="dxa" w:w="2700"/>
            <w:shd w:fill="F2F2F2" w:val="clear"/>
            <w:tcMar>
              <w:top w:type="dxa" w:w="60"/>
              <w:left w:type="dxa" w:w="100"/>
              <w:bottom w:type="dxa" w:w="60"/>
              <w:right w:type="dxa" w:w="100"/>
            </w:tcMar>
          </w:tcPr>
          <w:p>
            <w:r>
              <w:rPr>
                <w:b w:val="false"/>
                <w:bCs w:val="false"/>
                <w:sz w:val="20"/>
                <w:szCs w:val="20"/>
              </w:rPr>
              <w:t xml:space="preserve">90% reduction via root-cause remediation</w:t>
            </w:r>
          </w:p>
        </w:tc>
      </w:tr>
      <w:tr>
        <w:tc>
          <w:tcPr>
            <w:tcW w:type="dxa" w:w="4300"/>
            <w:tcMar>
              <w:top w:type="dxa" w:w="60"/>
              <w:left w:type="dxa" w:w="100"/>
              <w:bottom w:type="dxa" w:w="60"/>
              <w:right w:type="dxa" w:w="100"/>
            </w:tcMar>
          </w:tcPr>
          <w:p>
            <w:r>
              <w:rPr>
                <w:b w:val="false"/>
                <w:bCs w:val="false"/>
                <w:sz w:val="20"/>
                <w:szCs w:val="20"/>
              </w:rPr>
              <w:t xml:space="preserve">High findings older than 30 days without exception</w:t>
            </w:r>
          </w:p>
        </w:tc>
        <w:tc>
          <w:tcPr>
            <w:tcW w:type="dxa" w:w="2700"/>
            <w:tcMar>
              <w:top w:type="dxa" w:w="60"/>
              <w:left w:type="dxa" w:w="100"/>
              <w:bottom w:type="dxa" w:w="60"/>
              <w:right w:type="dxa" w:w="100"/>
            </w:tcMar>
          </w:tcPr>
          <w:p>
            <w:r>
              <w:rPr>
                <w:b w:val="false"/>
                <w:bCs w:val="false"/>
                <w:sz w:val="20"/>
                <w:szCs w:val="20"/>
              </w:rPr>
              <w:t xml:space="preserve">Unmeasured</w:t>
            </w:r>
          </w:p>
        </w:tc>
        <w:tc>
          <w:tcPr>
            <w:tcW w:type="dxa" w:w="2700"/>
            <w:tcMar>
              <w:top w:type="dxa" w:w="60"/>
              <w:left w:type="dxa" w:w="100"/>
              <w:bottom w:type="dxa" w:w="60"/>
              <w:right w:type="dxa" w:w="100"/>
            </w:tcMar>
          </w:tcPr>
          <w:p>
            <w:r>
              <w:rPr>
                <w:b w:val="false"/>
                <w:bCs w:val="false"/>
                <w:sz w:val="20"/>
                <w:szCs w:val="20"/>
              </w:rPr>
              <w:t xml:space="preserve">0</w:t>
            </w:r>
          </w:p>
        </w:tc>
      </w:tr>
      <w:tr>
        <w:tc>
          <w:tcPr>
            <w:tcW w:type="dxa" w:w="4300"/>
            <w:shd w:fill="F2F2F2" w:val="clear"/>
            <w:tcMar>
              <w:top w:type="dxa" w:w="60"/>
              <w:left w:type="dxa" w:w="100"/>
              <w:bottom w:type="dxa" w:w="60"/>
              <w:right w:type="dxa" w:w="100"/>
            </w:tcMar>
          </w:tcPr>
          <w:p>
            <w:r>
              <w:rPr>
                <w:b w:val="false"/>
                <w:bCs w:val="false"/>
                <w:sz w:val="20"/>
                <w:szCs w:val="20"/>
              </w:rPr>
              <w:t xml:space="preserve">Patch compliance (in-window)</w:t>
            </w:r>
          </w:p>
        </w:tc>
        <w:tc>
          <w:tcPr>
            <w:tcW w:type="dxa" w:w="2700"/>
            <w:shd w:fill="F2F2F2" w:val="clear"/>
            <w:tcMar>
              <w:top w:type="dxa" w:w="60"/>
              <w:left w:type="dxa" w:w="100"/>
              <w:bottom w:type="dxa" w:w="60"/>
              <w:right w:type="dxa" w:w="100"/>
            </w:tcMar>
          </w:tcPr>
          <w:p>
            <w:r>
              <w:rPr>
                <w:b w:val="false"/>
                <w:bCs w:val="false"/>
                <w:sz w:val="20"/>
                <w:szCs w:val="20"/>
              </w:rPr>
              <w:t xml:space="preserve">Partial</w:t>
            </w:r>
          </w:p>
        </w:tc>
        <w:tc>
          <w:tcPr>
            <w:tcW w:type="dxa" w:w="2700"/>
            <w:shd w:fill="F2F2F2" w:val="clear"/>
            <w:tcMar>
              <w:top w:type="dxa" w:w="60"/>
              <w:left w:type="dxa" w:w="100"/>
              <w:bottom w:type="dxa" w:w="60"/>
              <w:right w:type="dxa" w:w="100"/>
            </w:tcMar>
          </w:tcPr>
          <w:p>
            <w:r>
              <w:rPr>
                <w:b w:val="false"/>
                <w:bCs w:val="false"/>
                <w:sz w:val="20"/>
                <w:szCs w:val="20"/>
              </w:rPr>
              <w:t xml:space="preserve">≥ 95% of in-scope machines</w:t>
            </w:r>
          </w:p>
        </w:tc>
      </w:tr>
      <w:tr>
        <w:tc>
          <w:tcPr>
            <w:tcW w:type="dxa" w:w="4300"/>
            <w:tcMar>
              <w:top w:type="dxa" w:w="60"/>
              <w:left w:type="dxa" w:w="100"/>
              <w:bottom w:type="dxa" w:w="60"/>
              <w:right w:type="dxa" w:w="100"/>
            </w:tcMar>
          </w:tcPr>
          <w:p>
            <w:r>
              <w:rPr>
                <w:b w:val="false"/>
                <w:bCs w:val="false"/>
                <w:sz w:val="20"/>
                <w:szCs w:val="20"/>
              </w:rPr>
              <w:t xml:space="preserve">AKS clusters on supported versions</w:t>
            </w:r>
          </w:p>
        </w:tc>
        <w:tc>
          <w:tcPr>
            <w:tcW w:type="dxa" w:w="2700"/>
            <w:tcMar>
              <w:top w:type="dxa" w:w="60"/>
              <w:left w:type="dxa" w:w="100"/>
              <w:bottom w:type="dxa" w:w="60"/>
              <w:right w:type="dxa" w:w="100"/>
            </w:tcMar>
          </w:tcPr>
          <w:p>
            <w:r>
              <w:rPr>
                <w:b w:val="false"/>
                <w:bCs w:val="false"/>
                <w:sz w:val="20"/>
                <w:szCs w:val="20"/>
              </w:rPr>
              <w:t xml:space="preserve">Gaps (220 findings)</w:t>
            </w:r>
          </w:p>
        </w:tc>
        <w:tc>
          <w:tcPr>
            <w:tcW w:type="dxa" w:w="2700"/>
            <w:tcMar>
              <w:top w:type="dxa" w:w="60"/>
              <w:left w:type="dxa" w:w="100"/>
              <w:bottom w:type="dxa" w:w="60"/>
              <w:right w:type="dxa" w:w="100"/>
            </w:tcMar>
          </w:tcPr>
          <w:p>
            <w:r>
              <w:rPr>
                <w:b w:val="false"/>
                <w:bCs w:val="false"/>
                <w:sz w:val="20"/>
                <w:szCs w:val="20"/>
              </w:rPr>
              <w:t xml:space="preserve">100%</w:t>
            </w:r>
          </w:p>
        </w:tc>
      </w:tr>
      <w:tr>
        <w:tc>
          <w:tcPr>
            <w:tcW w:type="dxa" w:w="4300"/>
            <w:shd w:fill="F2F2F2" w:val="clear"/>
            <w:tcMar>
              <w:top w:type="dxa" w:w="60"/>
              <w:left w:type="dxa" w:w="100"/>
              <w:bottom w:type="dxa" w:w="60"/>
              <w:right w:type="dxa" w:w="100"/>
            </w:tcMar>
          </w:tcPr>
          <w:p>
            <w:r>
              <w:rPr>
                <w:b w:val="false"/>
                <w:bCs w:val="false"/>
                <w:sz w:val="20"/>
                <w:szCs w:val="20"/>
              </w:rPr>
              <w:t xml:space="preserve">Images from trusted registries</w:t>
            </w:r>
          </w:p>
        </w:tc>
        <w:tc>
          <w:tcPr>
            <w:tcW w:type="dxa" w:w="2700"/>
            <w:shd w:fill="F2F2F2" w:val="clear"/>
            <w:tcMar>
              <w:top w:type="dxa" w:w="60"/>
              <w:left w:type="dxa" w:w="100"/>
              <w:bottom w:type="dxa" w:w="60"/>
              <w:right w:type="dxa" w:w="100"/>
            </w:tcMar>
          </w:tcPr>
          <w:p>
            <w:r>
              <w:rPr>
                <w:b w:val="false"/>
                <w:bCs w:val="false"/>
                <w:sz w:val="20"/>
                <w:szCs w:val="20"/>
              </w:rPr>
              <w:t xml:space="preserve">Gaps (1,121 findings)</w:t>
            </w:r>
          </w:p>
        </w:tc>
        <w:tc>
          <w:tcPr>
            <w:tcW w:type="dxa" w:w="2700"/>
            <w:shd w:fill="F2F2F2" w:val="clear"/>
            <w:tcMar>
              <w:top w:type="dxa" w:w="60"/>
              <w:left w:type="dxa" w:w="100"/>
              <w:bottom w:type="dxa" w:w="60"/>
              <w:right w:type="dxa" w:w="100"/>
            </w:tcMar>
          </w:tcPr>
          <w:p>
            <w:r>
              <w:rPr>
                <w:b w:val="false"/>
                <w:bCs w:val="false"/>
                <w:sz w:val="20"/>
                <w:szCs w:val="20"/>
              </w:rPr>
              <w:t xml:space="preserve">100% (policy: deny)</w:t>
            </w:r>
          </w:p>
        </w:tc>
      </w:tr>
      <w:tr>
        <w:tc>
          <w:tcPr>
            <w:tcW w:type="dxa" w:w="4300"/>
            <w:tcMar>
              <w:top w:type="dxa" w:w="60"/>
              <w:left w:type="dxa" w:w="100"/>
              <w:bottom w:type="dxa" w:w="60"/>
              <w:right w:type="dxa" w:w="100"/>
            </w:tcMar>
          </w:tcPr>
          <w:p>
            <w:r>
              <w:rPr>
                <w:b w:val="false"/>
                <w:bCs w:val="false"/>
                <w:sz w:val="20"/>
                <w:szCs w:val="20"/>
              </w:rPr>
              <w:t xml:space="preserve">Public network access on prod data services</w:t>
            </w:r>
          </w:p>
        </w:tc>
        <w:tc>
          <w:tcPr>
            <w:tcW w:type="dxa" w:w="2700"/>
            <w:tcMar>
              <w:top w:type="dxa" w:w="60"/>
              <w:left w:type="dxa" w:w="100"/>
              <w:bottom w:type="dxa" w:w="60"/>
              <w:right w:type="dxa" w:w="100"/>
            </w:tcMar>
          </w:tcPr>
          <w:p>
            <w:r>
              <w:rPr>
                <w:b w:val="false"/>
                <w:bCs w:val="false"/>
                <w:sz w:val="20"/>
                <w:szCs w:val="20"/>
              </w:rPr>
              <w:t xml:space="preserve">31 SQL findings</w:t>
            </w:r>
          </w:p>
        </w:tc>
        <w:tc>
          <w:tcPr>
            <w:tcW w:type="dxa" w:w="2700"/>
            <w:tcMar>
              <w:top w:type="dxa" w:w="60"/>
              <w:left w:type="dxa" w:w="100"/>
              <w:bottom w:type="dxa" w:w="60"/>
              <w:right w:type="dxa" w:w="100"/>
            </w:tcMar>
          </w:tcPr>
          <w:p>
            <w:r>
              <w:rPr>
                <w:b w:val="false"/>
                <w:bCs w:val="false"/>
                <w:sz w:val="20"/>
                <w:szCs w:val="20"/>
              </w:rPr>
              <w:t xml:space="preserve">0 without documented exception</w:t>
            </w:r>
          </w:p>
        </w:tc>
      </w:tr>
      <w:tr>
        <w:tc>
          <w:tcPr>
            <w:tcW w:type="dxa" w:w="4300"/>
            <w:shd w:fill="F2F2F2" w:val="clear"/>
            <w:tcMar>
              <w:top w:type="dxa" w:w="60"/>
              <w:left w:type="dxa" w:w="100"/>
              <w:bottom w:type="dxa" w:w="60"/>
              <w:right w:type="dxa" w:w="100"/>
            </w:tcMar>
          </w:tcPr>
          <w:p>
            <w:r>
              <w:rPr>
                <w:b w:val="false"/>
                <w:bCs w:val="false"/>
                <w:sz w:val="20"/>
                <w:szCs w:val="20"/>
              </w:rPr>
              <w:t xml:space="preserve">Documented exceptions past review date</w:t>
            </w:r>
          </w:p>
        </w:tc>
        <w:tc>
          <w:tcPr>
            <w:tcW w:type="dxa" w:w="2700"/>
            <w:shd w:fill="F2F2F2" w:val="clear"/>
            <w:tcMar>
              <w:top w:type="dxa" w:w="60"/>
              <w:left w:type="dxa" w:w="100"/>
              <w:bottom w:type="dxa" w:w="60"/>
              <w:right w:type="dxa" w:w="100"/>
            </w:tcMar>
          </w:tcPr>
          <w:p>
            <w:r>
              <w:rPr>
                <w:b w:val="false"/>
                <w:bCs w:val="false"/>
                <w:sz w:val="20"/>
                <w:szCs w:val="20"/>
              </w:rPr>
              <w:t xml:space="preserve">N/A (register new)</w:t>
            </w:r>
          </w:p>
        </w:tc>
        <w:tc>
          <w:tcPr>
            <w:tcW w:type="dxa" w:w="2700"/>
            <w:shd w:fill="F2F2F2" w:val="clear"/>
            <w:tcMar>
              <w:top w:type="dxa" w:w="60"/>
              <w:left w:type="dxa" w:w="100"/>
              <w:bottom w:type="dxa" w:w="60"/>
              <w:right w:type="dxa" w:w="100"/>
            </w:tcMar>
          </w:tcPr>
          <w:p>
            <w:r>
              <w:rPr>
                <w:b w:val="false"/>
                <w:bCs w:val="false"/>
                <w:sz w:val="20"/>
                <w:szCs w:val="20"/>
              </w:rPr>
              <w:t xml:space="preserve">0</w:t>
            </w:r>
          </w:p>
        </w:tc>
      </w:tr>
      <w:tr>
        <w:tc>
          <w:tcPr>
            <w:tcW w:type="dxa" w:w="4300"/>
            <w:tcMar>
              <w:top w:type="dxa" w:w="60"/>
              <w:left w:type="dxa" w:w="100"/>
              <w:bottom w:type="dxa" w:w="60"/>
              <w:right w:type="dxa" w:w="100"/>
            </w:tcMar>
          </w:tcPr>
          <w:p>
            <w:r>
              <w:rPr>
                <w:b w:val="false"/>
                <w:bCs w:val="false"/>
                <w:sz w:val="20"/>
                <w:szCs w:val="20"/>
              </w:rPr>
              <w:t xml:space="preserve">Restore tests completed (tier-1)</w:t>
            </w:r>
          </w:p>
        </w:tc>
        <w:tc>
          <w:tcPr>
            <w:tcW w:type="dxa" w:w="2700"/>
            <w:tcMar>
              <w:top w:type="dxa" w:w="60"/>
              <w:left w:type="dxa" w:w="100"/>
              <w:bottom w:type="dxa" w:w="60"/>
              <w:right w:type="dxa" w:w="100"/>
            </w:tcMar>
          </w:tcPr>
          <w:p>
            <w:r>
              <w:rPr>
                <w:b w:val="false"/>
                <w:bCs w:val="false"/>
                <w:sz w:val="20"/>
                <w:szCs w:val="20"/>
              </w:rPr>
              <w:t xml:space="preserve">To baseline</w:t>
            </w:r>
          </w:p>
        </w:tc>
        <w:tc>
          <w:tcPr>
            <w:tcW w:type="dxa" w:w="2700"/>
            <w:tcMar>
              <w:top w:type="dxa" w:w="60"/>
              <w:left w:type="dxa" w:w="100"/>
              <w:bottom w:type="dxa" w:w="60"/>
              <w:right w:type="dxa" w:w="100"/>
            </w:tcMar>
          </w:tcPr>
          <w:p>
            <w:r>
              <w:rPr>
                <w:b w:val="false"/>
                <w:bCs w:val="false"/>
                <w:sz w:val="20"/>
                <w:szCs w:val="20"/>
              </w:rPr>
              <w:t xml:space="preserve">100% annually</w:t>
            </w:r>
          </w:p>
        </w:tc>
      </w:tr>
      <w:tr>
        <w:tc>
          <w:tcPr>
            <w:tcW w:type="dxa" w:w="4300"/>
            <w:shd w:fill="F2F2F2" w:val="clear"/>
            <w:tcMar>
              <w:top w:type="dxa" w:w="60"/>
              <w:left w:type="dxa" w:w="100"/>
              <w:bottom w:type="dxa" w:w="60"/>
              <w:right w:type="dxa" w:w="100"/>
            </w:tcMar>
          </w:tcPr>
          <w:p>
            <w:r>
              <w:rPr>
                <w:b w:val="false"/>
                <w:bCs w:val="false"/>
                <w:sz w:val="20"/>
                <w:szCs w:val="20"/>
              </w:rPr>
              <w:t xml:space="preserve">Mean time to acknowledge Sev1/Sev2</w:t>
            </w:r>
          </w:p>
        </w:tc>
        <w:tc>
          <w:tcPr>
            <w:tcW w:type="dxa" w:w="2700"/>
            <w:shd w:fill="F2F2F2" w:val="clear"/>
            <w:tcMar>
              <w:top w:type="dxa" w:w="60"/>
              <w:left w:type="dxa" w:w="100"/>
              <w:bottom w:type="dxa" w:w="60"/>
              <w:right w:type="dxa" w:w="100"/>
            </w:tcMar>
          </w:tcPr>
          <w:p>
            <w:r>
              <w:rPr>
                <w:b w:val="false"/>
                <w:bCs w:val="false"/>
                <w:sz w:val="20"/>
                <w:szCs w:val="20"/>
              </w:rPr>
              <w:t xml:space="preserve">To baseline</w:t>
            </w:r>
          </w:p>
        </w:tc>
        <w:tc>
          <w:tcPr>
            <w:tcW w:type="dxa" w:w="2700"/>
            <w:shd w:fill="F2F2F2" w:val="clear"/>
            <w:tcMar>
              <w:top w:type="dxa" w:w="60"/>
              <w:left w:type="dxa" w:w="100"/>
              <w:bottom w:type="dxa" w:w="60"/>
              <w:right w:type="dxa" w:w="100"/>
            </w:tcMar>
          </w:tcPr>
          <w:p>
            <w:r>
              <w:rPr>
                <w:b w:val="false"/>
                <w:bCs w:val="false"/>
                <w:sz w:val="20"/>
                <w:szCs w:val="20"/>
              </w:rPr>
              <w:t xml:space="preserve">≤ 30 min / ≤ 2 hrs</w:t>
            </w:r>
          </w:p>
        </w:tc>
      </w:tr>
    </w:tbl>
    <w:p>
      <w:pPr>
        <w:spacing w:before="200"/>
      </w:pPr>
    </w:p>
    <w:p>
      <w:pPr>
        <w:pStyle w:val="Heading1"/>
        <w:spacing w:after="160" w:before="360"/>
      </w:pPr>
      <w:r>
        <w:rPr>
          <w:color w:val="1F3864"/>
        </w:rPr>
        <w:t xml:space="preserve">Appendix A: Reference Sources</w:t>
      </w:r>
    </w:p>
    <w:p>
      <w:pPr>
        <w:pStyle w:val="ListParagraph"/>
        <w:numPr>
          <w:ilvl w:val="0"/>
          <w:numId w:val="2"/>
        </w:numPr>
        <w:spacing w:after="60"/>
      </w:pPr>
      <w:r>
        <w:t xml:space="preserve">Microsoft Cloud Security Benchmark v2 – learn.microsoft.com/security/benchmark/azure</w:t>
      </w:r>
    </w:p>
    <w:p>
      <w:pPr>
        <w:pStyle w:val="ListParagraph"/>
        <w:numPr>
          <w:ilvl w:val="0"/>
          <w:numId w:val="2"/>
        </w:numPr>
        <w:spacing w:after="60"/>
      </w:pPr>
      <w:r>
        <w:t xml:space="preserve">Azure security best practices and patterns – learn.microsoft.com/azure/security/fundamentals/best-practices-and-patterns</w:t>
      </w:r>
    </w:p>
    <w:p>
      <w:pPr>
        <w:pStyle w:val="ListParagraph"/>
        <w:numPr>
          <w:ilvl w:val="0"/>
          <w:numId w:val="2"/>
        </w:numPr>
        <w:spacing w:after="60"/>
      </w:pPr>
      <w:r>
        <w:t xml:space="preserve">Cloud Adoption Framework (Secure) and Azure Well-Architected Framework (Security pillar)</w:t>
      </w:r>
    </w:p>
    <w:p>
      <w:pPr>
        <w:pStyle w:val="ListParagraph"/>
        <w:numPr>
          <w:ilvl w:val="0"/>
          <w:numId w:val="2"/>
        </w:numPr>
        <w:spacing w:after="60"/>
      </w:pPr>
      <w:r>
        <w:t xml:space="preserve">Zero Trust guidance – learn.microsoft.com/security/zero-trust; NIST SP 800-207</w:t>
      </w:r>
    </w:p>
    <w:p>
      <w:pPr>
        <w:pStyle w:val="ListParagraph"/>
        <w:numPr>
          <w:ilvl w:val="0"/>
          <w:numId w:val="2"/>
        </w:numPr>
        <w:spacing w:after="60"/>
      </w:pPr>
      <w:r>
        <w:t xml:space="preserve">CIS Microsoft Azure Foundations Benchmark; NIST CSF; ISO/IEC 27001; PCI-DSS v4</w:t>
      </w:r>
    </w:p>
    <w:p>
      <w:pPr>
        <w:pStyle w:val="ListParagraph"/>
        <w:numPr>
          <w:ilvl w:val="0"/>
          <w:numId w:val="2"/>
        </w:numPr>
        <w:spacing w:after="60"/>
      </w:pPr>
      <w:r>
        <w:t xml:space="preserve">Microsoft Defender for Cloud regulatory compliance (MCSB assessment)</w:t>
      </w:r>
    </w:p>
    <w:p>
      <w:pPr>
        <w:pStyle w:val="ListParagraph"/>
        <w:numPr>
          <w:ilvl w:val="0"/>
          <w:numId w:val="2"/>
        </w:numPr>
        <w:spacing w:after="60"/>
      </w:pPr>
      <w:r>
        <w:t xml:space="preserve">NIST SP 800-61 (Incident Handling); Microsoft Cybersecurity Reference Architectures (MCRA)</w:t>
      </w:r>
    </w:p>
    <w:p>
      <w:pPr>
        <w:pStyle w:val="Heading1"/>
        <w:spacing w:after="160" w:before="360"/>
      </w:pPr>
      <w:r>
        <w:rPr>
          <w:color w:val="1F3864"/>
        </w:rPr>
        <w:t xml:space="preserve">Appendix B: Glossary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rPr>
          <w:tblHeader/>
        </w:trPr>
        <w:tc>
          <w:tcPr>
            <w:tcW w:type="dxa" w:w="2400"/>
            <w:shd w:fill="1F3864" w:val="clear"/>
            <w:tcMar>
              <w:top w:type="dxa" w:w="60"/>
              <w:left w:type="dxa" w:w="100"/>
              <w:bottom w:type="dxa" w:w="60"/>
              <w:right w:type="dxa" w:w="100"/>
            </w:tcMar>
          </w:tcPr>
          <w:p>
            <w:r>
              <w:rPr>
                <w:b/>
                <w:bCs/>
                <w:color w:val="FFFFFF"/>
                <w:sz w:val="20"/>
                <w:szCs w:val="20"/>
              </w:rPr>
              <w:t xml:space="preserve">Term</w:t>
            </w:r>
          </w:p>
        </w:tc>
        <w:tc>
          <w:tcPr>
            <w:tcW w:type="dxa" w:w="7300"/>
            <w:shd w:fill="1F3864" w:val="clear"/>
            <w:tcMar>
              <w:top w:type="dxa" w:w="60"/>
              <w:left w:type="dxa" w:w="100"/>
              <w:bottom w:type="dxa" w:w="60"/>
              <w:right w:type="dxa" w:w="100"/>
            </w:tcMar>
          </w:tcPr>
          <w:p>
            <w:r>
              <w:rPr>
                <w:b/>
                <w:bCs/>
                <w:color w:val="FFFFFF"/>
                <w:sz w:val="20"/>
                <w:szCs w:val="20"/>
              </w:rPr>
              <w:t xml:space="preserve">Meaning</w:t>
            </w:r>
          </w:p>
        </w:tc>
      </w:tr>
      <w:tr>
        <w:tc>
          <w:tcPr>
            <w:tcW w:type="dxa" w:w="2400"/>
            <w:tcMar>
              <w:top w:type="dxa" w:w="60"/>
              <w:left w:type="dxa" w:w="100"/>
              <w:bottom w:type="dxa" w:w="60"/>
              <w:right w:type="dxa" w:w="100"/>
            </w:tcMar>
          </w:tcPr>
          <w:p>
            <w:r>
              <w:rPr>
                <w:b w:val="false"/>
                <w:bCs w:val="false"/>
                <w:sz w:val="20"/>
                <w:szCs w:val="20"/>
              </w:rPr>
              <w:t xml:space="preserve">MCSB</w:t>
            </w:r>
          </w:p>
        </w:tc>
        <w:tc>
          <w:tcPr>
            <w:tcW w:type="dxa" w:w="7300"/>
            <w:tcMar>
              <w:top w:type="dxa" w:w="60"/>
              <w:left w:type="dxa" w:w="100"/>
              <w:bottom w:type="dxa" w:w="60"/>
              <w:right w:type="dxa" w:w="100"/>
            </w:tcMar>
          </w:tcPr>
          <w:p>
            <w:r>
              <w:rPr>
                <w:b w:val="false"/>
                <w:bCs w:val="false"/>
                <w:sz w:val="20"/>
                <w:szCs w:val="20"/>
              </w:rPr>
              <w:t xml:space="preserve">Microsoft Cloud Security Benchmark – Microsoft's prescriptive control catalogue; v2 is the current version (preview)</w:t>
            </w:r>
          </w:p>
        </w:tc>
      </w:tr>
      <w:tr>
        <w:tc>
          <w:tcPr>
            <w:tcW w:type="dxa" w:w="2400"/>
            <w:shd w:fill="F2F2F2" w:val="clear"/>
            <w:tcMar>
              <w:top w:type="dxa" w:w="60"/>
              <w:left w:type="dxa" w:w="100"/>
              <w:bottom w:type="dxa" w:w="60"/>
              <w:right w:type="dxa" w:w="100"/>
            </w:tcMar>
          </w:tcPr>
          <w:p>
            <w:r>
              <w:rPr>
                <w:b w:val="false"/>
                <w:bCs w:val="false"/>
                <w:sz w:val="20"/>
                <w:szCs w:val="20"/>
              </w:rPr>
              <w:t xml:space="preserve">CSPM</w:t>
            </w:r>
          </w:p>
        </w:tc>
        <w:tc>
          <w:tcPr>
            <w:tcW w:type="dxa" w:w="7300"/>
            <w:shd w:fill="F2F2F2" w:val="clear"/>
            <w:tcMar>
              <w:top w:type="dxa" w:w="60"/>
              <w:left w:type="dxa" w:w="100"/>
              <w:bottom w:type="dxa" w:w="60"/>
              <w:right w:type="dxa" w:w="100"/>
            </w:tcMar>
          </w:tcPr>
          <w:p>
            <w:r>
              <w:rPr>
                <w:b w:val="false"/>
                <w:bCs w:val="false"/>
                <w:sz w:val="20"/>
                <w:szCs w:val="20"/>
              </w:rPr>
              <w:t xml:space="preserve">Cloud Security Posture Management – continuous misconfiguration/risk assessment (Defender for Cloud, Wiz)</w:t>
            </w:r>
          </w:p>
        </w:tc>
      </w:tr>
      <w:tr>
        <w:tc>
          <w:tcPr>
            <w:tcW w:type="dxa" w:w="2400"/>
            <w:tcMar>
              <w:top w:type="dxa" w:w="60"/>
              <w:left w:type="dxa" w:w="100"/>
              <w:bottom w:type="dxa" w:w="60"/>
              <w:right w:type="dxa" w:w="100"/>
            </w:tcMar>
          </w:tcPr>
          <w:p>
            <w:r>
              <w:rPr>
                <w:b w:val="false"/>
                <w:bCs w:val="false"/>
                <w:sz w:val="20"/>
                <w:szCs w:val="20"/>
              </w:rPr>
              <w:t xml:space="preserve">CAF / WAF</w:t>
            </w:r>
          </w:p>
        </w:tc>
        <w:tc>
          <w:tcPr>
            <w:tcW w:type="dxa" w:w="7300"/>
            <w:tcMar>
              <w:top w:type="dxa" w:w="60"/>
              <w:left w:type="dxa" w:w="100"/>
              <w:bottom w:type="dxa" w:w="60"/>
              <w:right w:type="dxa" w:w="100"/>
            </w:tcMar>
          </w:tcPr>
          <w:p>
            <w:r>
              <w:rPr>
                <w:b w:val="false"/>
                <w:bCs w:val="false"/>
                <w:sz w:val="20"/>
                <w:szCs w:val="20"/>
              </w:rPr>
              <w:t xml:space="preserve">Cloud Adoption Framework / Well-Architected Framework – Microsoft adoption and workload design guidance</w:t>
            </w:r>
          </w:p>
        </w:tc>
      </w:tr>
      <w:tr>
        <w:tc>
          <w:tcPr>
            <w:tcW w:type="dxa" w:w="2400"/>
            <w:shd w:fill="F2F2F2" w:val="clear"/>
            <w:tcMar>
              <w:top w:type="dxa" w:w="60"/>
              <w:left w:type="dxa" w:w="100"/>
              <w:bottom w:type="dxa" w:w="60"/>
              <w:right w:type="dxa" w:w="100"/>
            </w:tcMar>
          </w:tcPr>
          <w:p>
            <w:r>
              <w:rPr>
                <w:b w:val="false"/>
                <w:bCs w:val="false"/>
                <w:sz w:val="20"/>
                <w:szCs w:val="20"/>
              </w:rPr>
              <w:t xml:space="preserve">Zero Trust</w:t>
            </w:r>
          </w:p>
        </w:tc>
        <w:tc>
          <w:tcPr>
            <w:tcW w:type="dxa" w:w="7300"/>
            <w:shd w:fill="F2F2F2" w:val="clear"/>
            <w:tcMar>
              <w:top w:type="dxa" w:w="60"/>
              <w:left w:type="dxa" w:w="100"/>
              <w:bottom w:type="dxa" w:w="60"/>
              <w:right w:type="dxa" w:w="100"/>
            </w:tcMar>
          </w:tcPr>
          <w:p>
            <w:r>
              <w:rPr>
                <w:b w:val="false"/>
                <w:bCs w:val="false"/>
                <w:sz w:val="20"/>
                <w:szCs w:val="20"/>
              </w:rPr>
              <w:t xml:space="preserve">Security model: verify explicitly, least privilege, assume breach (NIST SP 800-207)</w:t>
            </w:r>
          </w:p>
        </w:tc>
      </w:tr>
      <w:tr>
        <w:tc>
          <w:tcPr>
            <w:tcW w:type="dxa" w:w="2400"/>
            <w:tcMar>
              <w:top w:type="dxa" w:w="60"/>
              <w:left w:type="dxa" w:w="100"/>
              <w:bottom w:type="dxa" w:w="60"/>
              <w:right w:type="dxa" w:w="100"/>
            </w:tcMar>
          </w:tcPr>
          <w:p>
            <w:r>
              <w:rPr>
                <w:b w:val="false"/>
                <w:bCs w:val="false"/>
                <w:sz w:val="20"/>
                <w:szCs w:val="20"/>
              </w:rPr>
              <w:t xml:space="preserve">PIM / JIT</w:t>
            </w:r>
          </w:p>
        </w:tc>
        <w:tc>
          <w:tcPr>
            <w:tcW w:type="dxa" w:w="7300"/>
            <w:tcMar>
              <w:top w:type="dxa" w:w="60"/>
              <w:left w:type="dxa" w:w="100"/>
              <w:bottom w:type="dxa" w:w="60"/>
              <w:right w:type="dxa" w:w="100"/>
            </w:tcMar>
          </w:tcPr>
          <w:p>
            <w:r>
              <w:rPr>
                <w:b w:val="false"/>
                <w:bCs w:val="false"/>
                <w:sz w:val="20"/>
                <w:szCs w:val="20"/>
              </w:rPr>
              <w:t xml:space="preserve">Privileged Identity Management / Just-in-Time – time-bound, approved elevation instead of standing admin rights</w:t>
            </w:r>
          </w:p>
        </w:tc>
      </w:tr>
      <w:tr>
        <w:tc>
          <w:tcPr>
            <w:tcW w:type="dxa" w:w="2400"/>
            <w:shd w:fill="F2F2F2" w:val="clear"/>
            <w:tcMar>
              <w:top w:type="dxa" w:w="60"/>
              <w:left w:type="dxa" w:w="100"/>
              <w:bottom w:type="dxa" w:w="60"/>
              <w:right w:type="dxa" w:w="100"/>
            </w:tcMar>
          </w:tcPr>
          <w:p>
            <w:r>
              <w:rPr>
                <w:b w:val="false"/>
                <w:bCs w:val="false"/>
                <w:sz w:val="20"/>
                <w:szCs w:val="20"/>
              </w:rPr>
              <w:t xml:space="preserve">Private Endpoint (PE)</w:t>
            </w:r>
          </w:p>
        </w:tc>
        <w:tc>
          <w:tcPr>
            <w:tcW w:type="dxa" w:w="7300"/>
            <w:shd w:fill="F2F2F2" w:val="clear"/>
            <w:tcMar>
              <w:top w:type="dxa" w:w="60"/>
              <w:left w:type="dxa" w:w="100"/>
              <w:bottom w:type="dxa" w:w="60"/>
              <w:right w:type="dxa" w:w="100"/>
            </w:tcMar>
          </w:tcPr>
          <w:p>
            <w:r>
              <w:rPr>
                <w:b w:val="false"/>
                <w:bCs w:val="false"/>
                <w:sz w:val="20"/>
                <w:szCs w:val="20"/>
              </w:rPr>
              <w:t xml:space="preserve">Private IP for a PaaS service inside our VNet, removing public exposure</w:t>
            </w:r>
          </w:p>
        </w:tc>
      </w:tr>
      <w:tr>
        <w:tc>
          <w:tcPr>
            <w:tcW w:type="dxa" w:w="2400"/>
            <w:tcMar>
              <w:top w:type="dxa" w:w="60"/>
              <w:left w:type="dxa" w:w="100"/>
              <w:bottom w:type="dxa" w:w="60"/>
              <w:right w:type="dxa" w:w="100"/>
            </w:tcMar>
          </w:tcPr>
          <w:p>
            <w:r>
              <w:rPr>
                <w:b w:val="false"/>
                <w:bCs w:val="false"/>
                <w:sz w:val="20"/>
                <w:szCs w:val="20"/>
              </w:rPr>
              <w:t xml:space="preserve">UDR</w:t>
            </w:r>
          </w:p>
        </w:tc>
        <w:tc>
          <w:tcPr>
            <w:tcW w:type="dxa" w:w="7300"/>
            <w:tcMar>
              <w:top w:type="dxa" w:w="60"/>
              <w:left w:type="dxa" w:w="100"/>
              <w:bottom w:type="dxa" w:w="60"/>
              <w:right w:type="dxa" w:w="100"/>
            </w:tcMar>
          </w:tcPr>
          <w:p>
            <w:r>
              <w:rPr>
                <w:b w:val="false"/>
                <w:bCs w:val="false"/>
                <w:sz w:val="20"/>
                <w:szCs w:val="20"/>
              </w:rPr>
              <w:t xml:space="preserve">User Defined Route – forces traffic (e.g. all egress) through Azure Firewall</w:t>
            </w:r>
          </w:p>
        </w:tc>
      </w:tr>
      <w:tr>
        <w:tc>
          <w:tcPr>
            <w:tcW w:type="dxa" w:w="2400"/>
            <w:shd w:fill="F2F2F2" w:val="clear"/>
            <w:tcMar>
              <w:top w:type="dxa" w:w="60"/>
              <w:left w:type="dxa" w:w="100"/>
              <w:bottom w:type="dxa" w:w="60"/>
              <w:right w:type="dxa" w:w="100"/>
            </w:tcMar>
          </w:tcPr>
          <w:p>
            <w:r>
              <w:rPr>
                <w:b w:val="false"/>
                <w:bCs w:val="false"/>
                <w:sz w:val="20"/>
                <w:szCs w:val="20"/>
              </w:rPr>
              <w:t xml:space="preserve">TDS</w:t>
            </w:r>
          </w:p>
        </w:tc>
        <w:tc>
          <w:tcPr>
            <w:tcW w:type="dxa" w:w="7300"/>
            <w:shd w:fill="F2F2F2" w:val="clear"/>
            <w:tcMar>
              <w:top w:type="dxa" w:w="60"/>
              <w:left w:type="dxa" w:w="100"/>
              <w:bottom w:type="dxa" w:w="60"/>
              <w:right w:type="dxa" w:w="100"/>
            </w:tcMar>
          </w:tcPr>
          <w:p>
            <w:r>
              <w:rPr>
                <w:b w:val="false"/>
                <w:bCs w:val="false"/>
                <w:sz w:val="20"/>
                <w:szCs w:val="20"/>
              </w:rPr>
              <w:t xml:space="preserve">Tabular Data Stream – the SQL Server client protocol; must be TLS-protected</w:t>
            </w:r>
          </w:p>
        </w:tc>
      </w:tr>
      <w:tr>
        <w:tc>
          <w:tcPr>
            <w:tcW w:type="dxa" w:w="2400"/>
            <w:tcMar>
              <w:top w:type="dxa" w:w="60"/>
              <w:left w:type="dxa" w:w="100"/>
              <w:bottom w:type="dxa" w:w="60"/>
              <w:right w:type="dxa" w:w="100"/>
            </w:tcMar>
          </w:tcPr>
          <w:p>
            <w:r>
              <w:rPr>
                <w:b w:val="false"/>
                <w:bCs w:val="false"/>
                <w:sz w:val="20"/>
                <w:szCs w:val="20"/>
              </w:rPr>
              <w:t xml:space="preserve">SAS token</w:t>
            </w:r>
          </w:p>
        </w:tc>
        <w:tc>
          <w:tcPr>
            <w:tcW w:type="dxa" w:w="7300"/>
            <w:tcMar>
              <w:top w:type="dxa" w:w="60"/>
              <w:left w:type="dxa" w:w="100"/>
              <w:bottom w:type="dxa" w:w="60"/>
              <w:right w:type="dxa" w:w="100"/>
            </w:tcMar>
          </w:tcPr>
          <w:p>
            <w:r>
              <w:rPr>
                <w:b w:val="false"/>
                <w:bCs w:val="false"/>
                <w:sz w:val="20"/>
                <w:szCs w:val="20"/>
              </w:rPr>
              <w:t xml:space="preserve">Shared Access Signature – delegated storage access; must be short-lived and scoped</w:t>
            </w:r>
          </w:p>
        </w:tc>
      </w:tr>
      <w:tr>
        <w:tc>
          <w:tcPr>
            <w:tcW w:type="dxa" w:w="2400"/>
            <w:shd w:fill="F2F2F2" w:val="clear"/>
            <w:tcMar>
              <w:top w:type="dxa" w:w="60"/>
              <w:left w:type="dxa" w:w="100"/>
              <w:bottom w:type="dxa" w:w="60"/>
              <w:right w:type="dxa" w:w="100"/>
            </w:tcMar>
          </w:tcPr>
          <w:p>
            <w:r>
              <w:rPr>
                <w:b w:val="false"/>
                <w:bCs w:val="false"/>
                <w:sz w:val="20"/>
                <w:szCs w:val="20"/>
              </w:rPr>
              <w:t xml:space="preserve">CMK / TDE</w:t>
            </w:r>
          </w:p>
        </w:tc>
        <w:tc>
          <w:tcPr>
            <w:tcW w:type="dxa" w:w="7300"/>
            <w:shd w:fill="F2F2F2" w:val="clear"/>
            <w:tcMar>
              <w:top w:type="dxa" w:w="60"/>
              <w:left w:type="dxa" w:w="100"/>
              <w:bottom w:type="dxa" w:w="60"/>
              <w:right w:type="dxa" w:w="100"/>
            </w:tcMar>
          </w:tcPr>
          <w:p>
            <w:r>
              <w:rPr>
                <w:b w:val="false"/>
                <w:bCs w:val="false"/>
                <w:sz w:val="20"/>
                <w:szCs w:val="20"/>
              </w:rPr>
              <w:t xml:space="preserve">Customer-Managed Key / Transparent Data Encryption – at-rest encryption controls</w:t>
            </w:r>
          </w:p>
        </w:tc>
      </w:tr>
      <w:tr>
        <w:tc>
          <w:tcPr>
            <w:tcW w:type="dxa" w:w="2400"/>
            <w:tcMar>
              <w:top w:type="dxa" w:w="60"/>
              <w:left w:type="dxa" w:w="100"/>
              <w:bottom w:type="dxa" w:w="60"/>
              <w:right w:type="dxa" w:w="100"/>
            </w:tcMar>
          </w:tcPr>
          <w:p>
            <w:r>
              <w:rPr>
                <w:b w:val="false"/>
                <w:bCs w:val="false"/>
                <w:sz w:val="20"/>
                <w:szCs w:val="20"/>
              </w:rPr>
              <w:t xml:space="preserve">MCP</w:t>
            </w:r>
          </w:p>
        </w:tc>
        <w:tc>
          <w:tcPr>
            <w:tcW w:type="dxa" w:w="7300"/>
            <w:tcMar>
              <w:top w:type="dxa" w:w="60"/>
              <w:left w:type="dxa" w:w="100"/>
              <w:bottom w:type="dxa" w:w="60"/>
              <w:right w:type="dxa" w:w="100"/>
            </w:tcMar>
          </w:tcPr>
          <w:p>
            <w:r>
              <w:rPr>
                <w:b w:val="false"/>
                <w:bCs w:val="false"/>
                <w:sz w:val="20"/>
                <w:szCs w:val="20"/>
              </w:rPr>
              <w:t xml:space="preserve">Model Context Protocol – AI agent tooling interface; governed as third-party supply chain</w:t>
            </w:r>
          </w:p>
        </w:tc>
      </w:tr>
      <w:tr>
        <w:tc>
          <w:tcPr>
            <w:tcW w:type="dxa" w:w="2400"/>
            <w:shd w:fill="F2F2F2" w:val="clear"/>
            <w:tcMar>
              <w:top w:type="dxa" w:w="60"/>
              <w:left w:type="dxa" w:w="100"/>
              <w:bottom w:type="dxa" w:w="60"/>
              <w:right w:type="dxa" w:w="100"/>
            </w:tcMar>
          </w:tcPr>
          <w:p>
            <w:r>
              <w:rPr>
                <w:b w:val="false"/>
                <w:bCs w:val="false"/>
                <w:sz w:val="20"/>
                <w:szCs w:val="20"/>
              </w:rPr>
              <w:t xml:space="preserve">RPO / RTO</w:t>
            </w:r>
          </w:p>
        </w:tc>
        <w:tc>
          <w:tcPr>
            <w:tcW w:type="dxa" w:w="7300"/>
            <w:shd w:fill="F2F2F2" w:val="clear"/>
            <w:tcMar>
              <w:top w:type="dxa" w:w="60"/>
              <w:left w:type="dxa" w:w="100"/>
              <w:bottom w:type="dxa" w:w="60"/>
              <w:right w:type="dxa" w:w="100"/>
            </w:tcMar>
          </w:tcPr>
          <w:p>
            <w:r>
              <w:rPr>
                <w:b w:val="false"/>
                <w:bCs w:val="false"/>
                <w:sz w:val="20"/>
                <w:szCs w:val="20"/>
              </w:rPr>
              <w:t xml:space="preserve">Recovery Point / Time Objective – tolerated data loss and downtime per workload tier</w:t>
            </w:r>
          </w:p>
        </w:tc>
      </w:tr>
      <w:tr>
        <w:tc>
          <w:tcPr>
            <w:tcW w:type="dxa" w:w="2400"/>
            <w:tcMar>
              <w:top w:type="dxa" w:w="60"/>
              <w:left w:type="dxa" w:w="100"/>
              <w:bottom w:type="dxa" w:w="60"/>
              <w:right w:type="dxa" w:w="100"/>
            </w:tcMar>
          </w:tcPr>
          <w:p>
            <w:r>
              <w:rPr>
                <w:b w:val="false"/>
                <w:bCs w:val="false"/>
                <w:sz w:val="20"/>
                <w:szCs w:val="20"/>
              </w:rPr>
              <w:t xml:space="preserve">Exception</w:t>
            </w:r>
          </w:p>
        </w:tc>
        <w:tc>
          <w:tcPr>
            <w:tcW w:type="dxa" w:w="7300"/>
            <w:tcMar>
              <w:top w:type="dxa" w:w="60"/>
              <w:left w:type="dxa" w:w="100"/>
              <w:bottom w:type="dxa" w:w="60"/>
              <w:right w:type="dxa" w:w="100"/>
            </w:tcMar>
          </w:tcPr>
          <w:p>
            <w:r>
              <w:rPr>
                <w:b w:val="false"/>
                <w:bCs w:val="false"/>
                <w:sz w:val="20"/>
                <w:szCs w:val="20"/>
              </w:rPr>
              <w:t xml:space="preserve">A formally approved, time-boxed deviation from this framework's gold standard</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2026-08-03T16:02:24.089Z</dcterms:created>
  <dcterms:modified xsi:type="dcterms:W3CDTF">2026-08-03T16:02:24.111Z</dcterms:modified>
</cp:coreProperties>
</file>

<file path=docProps/custom.xml><?xml version="1.0" encoding="utf-8"?>
<Properties xmlns="http://schemas.openxmlformats.org/officeDocument/2006/custom-properties" xmlns:vt="http://schemas.openxmlformats.org/officeDocument/2006/docPropsVTypes"/>
</file>