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60" w:before="0"/>
      </w:pPr>
      <w:r>
        <w:rPr>
          <w:rFonts w:ascii="Calibri" w:cs="Calibri" w:eastAsia="Calibri" w:hAnsi="Calibri"/>
          <w:b/>
          <w:bCs/>
          <w:color w:val="2D2D2D"/>
          <w:sz w:val="52"/>
          <w:szCs w:val="52"/>
        </w:rPr>
        <w:t xml:space="preserve">ISO 27001 AUDIT READINESS PLAN</w:t>
      </w:r>
    </w:p>
    <w:p>
      <w:pPr>
        <w:spacing w:after="60" w:before="0"/>
      </w:pPr>
      <w:r>
        <w:rPr>
          <w:rFonts w:ascii="Calibri" w:cs="Calibri" w:eastAsia="Calibri" w:hAnsi="Calibri"/>
          <w:b w:val="false"/>
          <w:bCs w:val="false"/>
          <w:color w:val="555555"/>
          <w:sz w:val="32"/>
          <w:szCs w:val="32"/>
        </w:rPr>
        <w:t xml:space="preserve">Azure Cloud Controls</w:t>
      </w:r>
    </w:p>
    <w:p>
      <w:pPr>
        <w:pBdr>
          <w:bottom w:val="single" w:color="2D2D2D" w:sz="6" w:space="1"/>
        </w:pBdr>
        <w:spacing w:after="200" w:before="40"/>
      </w:pPr>
      <w:r>
        <w:rPr>
          <w:rFonts w:ascii="Calibri" w:cs="Calibri" w:eastAsia="Calibri" w:hAnsi="Calibri"/>
          <w:i/>
          <w:iCs/>
          <w:color w:val="555555"/>
          <w:sz w:val="20"/>
          <w:szCs w:val="20"/>
        </w:rPr>
        <w:t xml:space="preserve">Management Briefing  ·  7-Step Preparation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F5F5F5" w:val="clear"/>
            <w:tcMar>
              <w:top w:type="dxa" w:w="140"/>
              <w:left w:type="dxa" w:w="180"/>
              <w:bottom w:type="dxa" w:w="140"/>
              <w:right w:type="dxa" w:w="180"/>
            </w:tcMar>
          </w:tcPr>
          <w:p>
            <w:pPr>
              <w:spacing w:after="40" w:before="40"/>
            </w:pPr>
            <w:r>
              <w:rPr>
                <w:rFonts w:ascii="Calibri" w:cs="Calibri" w:eastAsia="Calibri" w:hAnsi="Calibri"/>
                <w:b/>
                <w:bCs/>
                <w:color w:val="2D2D2D"/>
                <w:sz w:val="18"/>
                <w:szCs w:val="18"/>
              </w:rPr>
              <w:t xml:space="preserve">Controls in scope</w:t>
            </w:r>
          </w:p>
          <w:p>
            <w:pPr>
              <w:spacing w:after="40" w:before="40"/>
            </w:pPr>
            <w:r>
              <w:rPr>
                <w:rFonts w:ascii="Calibri" w:cs="Calibri" w:eastAsia="Calibri" w:hAnsi="Calibri"/>
                <w:color w:val="1A1A1A"/>
                <w:sz w:val="18"/>
                <w:szCs w:val="18"/>
              </w:rPr>
              <w:t xml:space="preserve">5.9 · 5.15 · 5.17</w:t>
            </w:r>
          </w:p>
          <w:p>
            <w:pPr>
              <w:spacing w:after="40" w:before="40"/>
            </w:pPr>
            <w:r>
              <w:rPr>
                <w:rFonts w:ascii="Calibri" w:cs="Calibri" w:eastAsia="Calibri" w:hAnsi="Calibri"/>
                <w:color w:val="1A1A1A"/>
                <w:sz w:val="18"/>
                <w:szCs w:val="18"/>
              </w:rPr>
              <w:t xml:space="preserve">8.2 · 8.3 · 8.5 · 8.7 · 8.9 · 8.10</w:t>
            </w:r>
          </w:p>
          <w:p>
            <w:pPr>
              <w:spacing w:after="40" w:before="40"/>
            </w:pPr>
            <w:r>
              <w:rPr>
                <w:rFonts w:ascii="Calibri" w:cs="Calibri" w:eastAsia="Calibri" w:hAnsi="Calibri"/>
                <w:color w:val="1A1A1A"/>
                <w:sz w:val="18"/>
                <w:szCs w:val="18"/>
              </w:rPr>
              <w:t xml:space="preserve">8.13 · 8.14 · 8.15 · 8.16 · 8.17</w:t>
            </w:r>
          </w:p>
          <w:p>
            <w:pPr>
              <w:spacing w:after="40" w:before="40"/>
            </w:pPr>
            <w:r>
              <w:rPr>
                <w:rFonts w:ascii="Calibri" w:cs="Calibri" w:eastAsia="Calibri" w:hAnsi="Calibri"/>
                <w:color w:val="1A1A1A"/>
                <w:sz w:val="18"/>
                <w:szCs w:val="18"/>
              </w:rPr>
              <w:t xml:space="preserve">8.19 · 8.20 · 8.21 · 8.22 · 8.23 · 8.24</w:t>
            </w:r>
          </w:p>
        </w:tc>
        <w:tc>
          <w:tcPr>
            <w:tcW w:type="dxa" w:w="4680"/>
            <w:tcBorders>
              <w:top w:val="single" w:color="BBBBBB" w:sz="4"/>
              <w:left w:val="single" w:color="BBBBBB" w:sz="4"/>
              <w:bottom w:val="single" w:color="BBBBBB" w:sz="4"/>
              <w:right w:val="single" w:color="BBBBBB" w:sz="4"/>
            </w:tcBorders>
            <w:shd w:fill="F5F5F5" w:val="clear"/>
            <w:tcMar>
              <w:top w:type="dxa" w:w="140"/>
              <w:left w:type="dxa" w:w="180"/>
              <w:bottom w:type="dxa" w:w="140"/>
              <w:right w:type="dxa" w:w="180"/>
            </w:tcMar>
          </w:tcPr>
          <w:p>
            <w:pPr>
              <w:spacing w:after="40" w:before="40"/>
            </w:pPr>
            <w:r>
              <w:rPr>
                <w:rFonts w:ascii="Calibri" w:cs="Calibri" w:eastAsia="Calibri" w:hAnsi="Calibri"/>
                <w:b/>
                <w:bCs/>
                <w:color w:val="2D2D2D"/>
                <w:sz w:val="18"/>
                <w:szCs w:val="18"/>
              </w:rPr>
              <w:t xml:space="preserve">Key Azure services in scope</w:t>
            </w:r>
          </w:p>
          <w:p>
            <w:pPr>
              <w:spacing w:after="40" w:before="40"/>
            </w:pPr>
            <w:r>
              <w:rPr>
                <w:rFonts w:ascii="Calibri" w:cs="Calibri" w:eastAsia="Calibri" w:hAnsi="Calibri"/>
                <w:color w:val="1A1A1A"/>
                <w:sz w:val="18"/>
                <w:szCs w:val="18"/>
              </w:rPr>
              <w:t xml:space="preserve">Entra ID  ·  PIM  ·  Conditional Access</w:t>
            </w:r>
          </w:p>
          <w:p>
            <w:pPr>
              <w:spacing w:after="40" w:before="40"/>
            </w:pPr>
            <w:r>
              <w:rPr>
                <w:rFonts w:ascii="Calibri" w:cs="Calibri" w:eastAsia="Calibri" w:hAnsi="Calibri"/>
                <w:color w:val="1A1A1A"/>
                <w:sz w:val="18"/>
                <w:szCs w:val="18"/>
              </w:rPr>
              <w:t xml:space="preserve">Defender for Cloud  ·  Microsoft Sentinel</w:t>
            </w:r>
          </w:p>
          <w:p>
            <w:pPr>
              <w:spacing w:after="40" w:before="40"/>
            </w:pPr>
            <w:r>
              <w:rPr>
                <w:rFonts w:ascii="Calibri" w:cs="Calibri" w:eastAsia="Calibri" w:hAnsi="Calibri"/>
                <w:color w:val="1A1A1A"/>
                <w:sz w:val="18"/>
                <w:szCs w:val="18"/>
              </w:rPr>
              <w:t xml:space="preserve">Azure Monitor  ·  Log Analytics</w:t>
            </w:r>
          </w:p>
          <w:p>
            <w:pPr>
              <w:spacing w:after="40" w:before="40"/>
            </w:pPr>
            <w:r>
              <w:rPr>
                <w:rFonts w:ascii="Calibri" w:cs="Calibri" w:eastAsia="Calibri" w:hAnsi="Calibri"/>
                <w:color w:val="1A1A1A"/>
                <w:sz w:val="18"/>
                <w:szCs w:val="18"/>
              </w:rPr>
              <w:t xml:space="preserve">Azure Backup  ·  ASR  ·  Key Vault  ·  NSG</w:t>
            </w:r>
          </w:p>
        </w:tc>
      </w:tr>
    </w:tbl>
    <w:p>
      <w:pPr>
        <w:spacing w:after="0" w:before="120"/>
      </w:pPr>
      <w:r>
        <w:t xml:space="preserve"/>
      </w:r>
    </w:p>
    <w:p>
      <w:pPr>
        <w:spacing w:after="40" w:before="40"/>
      </w:pPr>
      <w:r>
        <w:rPr>
          <w:rFonts w:ascii="Calibri" w:cs="Calibri" w:eastAsia="Calibri" w:hAnsi="Calibri"/>
          <w:color w:val="555555"/>
          <w:sz w:val="19"/>
          <w:szCs w:val="19"/>
        </w:rPr>
        <w:t xml:space="preserve">This plan covers three preparation risks: (1) evidence gaps — Azure exports and policy screenshots not yet collected, (2) undocumented controls — configurations exist but have no written narratives, and (3) audit confidence — ability to explain controls clearly under questioning. Each section addresses one of these risks directly.</w:t>
      </w:r>
    </w:p>
    <w:p>
      <w:pPr>
        <w:spacing w:after="0" w:before="160"/>
      </w:pPr>
      <w:r>
        <w:t xml:space="preserve"/>
      </w:r>
    </w:p>
    <w:p>
      <w:pPr>
        <w:pBdr>
          <w:bottom w:val="single" w:color="2D2D2D" w:sz="6" w:space="1"/>
        </w:pBdr>
        <w:spacing w:after="120" w:before="320"/>
      </w:pPr>
      <w:r>
        <w:rPr>
          <w:rFonts w:ascii="Calibri" w:cs="Calibri" w:eastAsia="Calibri" w:hAnsi="Calibri"/>
          <w:b/>
          <w:bCs/>
          <w:color w:val="2D2D2D"/>
          <w:sz w:val="28"/>
          <w:szCs w:val="28"/>
        </w:rPr>
        <w:t xml:space="preserve">Section 1 — 5-Day Preparation Plan</w:t>
      </w:r>
    </w:p>
    <w:p>
      <w:pPr>
        <w:spacing w:after="40" w:before="40"/>
      </w:pPr>
      <w:r>
        <w:rPr>
          <w:rFonts w:ascii="Calibri" w:cs="Calibri" w:eastAsia="Calibri" w:hAnsi="Calibri"/>
          <w:color w:val="555555"/>
          <w:sz w:val="19"/>
          <w:szCs w:val="19"/>
        </w:rPr>
        <w:t xml:space="preserve">Each day has a defined focus and task list. Complete tasks in order — later days depend on evidence collected in earlier ones.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180"/>
              <w:bottom w:type="dxa" w:w="100"/>
              <w:right w:type="dxa" w:w="180"/>
            </w:tcMar>
          </w:tcPr>
          <w:p>
            <w:pPr>
              <w:spacing w:after="40" w:before="40"/>
            </w:pPr>
            <w:r>
              <w:rPr>
                <w:rFonts w:ascii="Calibri" w:cs="Calibri" w:eastAsia="Calibri" w:hAnsi="Calibri"/>
                <w:b/>
                <w:bCs/>
                <w:color w:val="FFFFFF"/>
                <w:sz w:val="22"/>
                <w:szCs w:val="22"/>
              </w:rPr>
              <w:t xml:space="preserve">MONDAY</w:t>
            </w:r>
            <w:r>
              <w:rPr>
                <w:rFonts w:ascii="Calibri" w:cs="Calibri" w:eastAsia="Calibri" w:hAnsi="Calibri"/>
                <w:color w:val="AAAAAA"/>
                <w:sz w:val="20"/>
                <w:szCs w:val="20"/>
              </w:rPr>
              <w:t xml:space="preserve">   —   Orient &amp; Evidence Mapping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1.</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Review each control in your control document folder against this plan.</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2.</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Mark each control in Section 3 as YES, PARTIAL, or NO based on what evidence you currently have.</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3.</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Identify your top 5 NO items — these are your critical gaps and get priority this week.</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4.</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Export the RBAC2025.xlsx and verify all assignments are current, active staff only.</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5.</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Run the Azure Resource Graph query for asset inventory (5.9) — confirm tags are complete.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180"/>
              <w:bottom w:type="dxa" w:w="100"/>
              <w:right w:type="dxa" w:w="180"/>
            </w:tcMar>
          </w:tcPr>
          <w:p>
            <w:pPr>
              <w:spacing w:after="40" w:before="40"/>
            </w:pPr>
            <w:r>
              <w:rPr>
                <w:rFonts w:ascii="Calibri" w:cs="Calibri" w:eastAsia="Calibri" w:hAnsi="Calibri"/>
                <w:b/>
                <w:bCs/>
                <w:color w:val="FFFFFF"/>
                <w:sz w:val="22"/>
                <w:szCs w:val="22"/>
              </w:rPr>
              <w:t xml:space="preserve">TUESDAY</w:t>
            </w:r>
            <w:r>
              <w:rPr>
                <w:rFonts w:ascii="Calibri" w:cs="Calibri" w:eastAsia="Calibri" w:hAnsi="Calibri"/>
                <w:color w:val="AAAAAA"/>
                <w:sz w:val="20"/>
                <w:szCs w:val="20"/>
              </w:rPr>
              <w:t xml:space="preserve">   —   Evidence Collection — Identity &amp; Access Controls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1.</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5.15 / 8.2 / 8.3 — Export all RBAC role assignments per subscription using Azure CLI or portal.</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2.</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8.2 — Export PIM eligible and active role assignments. Export activation history for the review period.</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3.</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8.5 — Screenshot each active Conditional Access policy showing conditions and grant controls.</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4.</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5.17 — Export MFA registration status report from Entra ID. Screenshot authentication methods policy.</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5.</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8.3 — Pull 3–5 sample access request tickets from ITSM plus leaver offboarding confirmations.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180"/>
              <w:bottom w:type="dxa" w:w="100"/>
              <w:right w:type="dxa" w:w="180"/>
            </w:tcMar>
          </w:tcPr>
          <w:p>
            <w:pPr>
              <w:spacing w:after="40" w:before="40"/>
            </w:pPr>
            <w:r>
              <w:rPr>
                <w:rFonts w:ascii="Calibri" w:cs="Calibri" w:eastAsia="Calibri" w:hAnsi="Calibri"/>
                <w:b/>
                <w:bCs/>
                <w:color w:val="FFFFFF"/>
                <w:sz w:val="22"/>
                <w:szCs w:val="22"/>
              </w:rPr>
              <w:t xml:space="preserve">WEDNESDAY</w:t>
            </w:r>
            <w:r>
              <w:rPr>
                <w:rFonts w:ascii="Calibri" w:cs="Calibri" w:eastAsia="Calibri" w:hAnsi="Calibri"/>
                <w:color w:val="AAAAAA"/>
                <w:sz w:val="20"/>
                <w:szCs w:val="20"/>
              </w:rPr>
              <w:t xml:space="preserve">   —   Evidence Collection — Network, Logging &amp;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1.</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8.20 / 8.21 / 8.22 — Export NSG rules for all in-scope subnets. List private endpoints. Screenshot DDoS plan.</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2.</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8.15 / 8.16 — Run Azure Policy compliance check for diagnostic settings. Export Sentinel incident list.</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3.</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8.13 — Export Azure Backup job history for the review period. Note: if no restore test exists, flag it now.</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4.</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8.14 — Screenshot ASR replication health. Document RTO/RPO even in a simple one-page statement.</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5.</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8.9 — Export Azure Policy compliance report. Identify non-compliant resources and document status.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180"/>
              <w:bottom w:type="dxa" w:w="100"/>
              <w:right w:type="dxa" w:w="180"/>
            </w:tcMar>
          </w:tcPr>
          <w:p>
            <w:pPr>
              <w:spacing w:after="40" w:before="40"/>
            </w:pPr>
            <w:r>
              <w:rPr>
                <w:rFonts w:ascii="Calibri" w:cs="Calibri" w:eastAsia="Calibri" w:hAnsi="Calibri"/>
                <w:b/>
                <w:bCs/>
                <w:color w:val="FFFFFF"/>
                <w:sz w:val="22"/>
                <w:szCs w:val="22"/>
              </w:rPr>
              <w:t xml:space="preserve">THURSDAY</w:t>
            </w:r>
            <w:r>
              <w:rPr>
                <w:rFonts w:ascii="Calibri" w:cs="Calibri" w:eastAsia="Calibri" w:hAnsi="Calibri"/>
                <w:color w:val="AAAAAA"/>
                <w:sz w:val="20"/>
                <w:szCs w:val="20"/>
              </w:rPr>
              <w:t xml:space="preserve">   —   Evidence Collection — Data, Crypto &amp; Remaining Gaps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1.</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8.23 / 8.24 — Run storage account HTTPS query. Screenshot Key Vault key rotation policies.</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2.</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8.10 — Screenshot lifecycle management policies on storage. Key Vault soft-delete and purge protection.</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3.</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8.7 — Export Defender for Cloud endpoint protection recommendations. VM protection status report.</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4.</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8.17 — Run time sync check on a sample VM using run command. Screenshot result as evidence.</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5.</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8.19 — Document the software installation approval process. Pull Defender adaptive controls if enabled.</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6.</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Review all PARTIAL items — for any still incomplete, document a compensating control statement.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180"/>
              <w:bottom w:type="dxa" w:w="100"/>
              <w:right w:type="dxa" w:w="180"/>
            </w:tcMar>
          </w:tcPr>
          <w:p>
            <w:pPr>
              <w:spacing w:after="40" w:before="40"/>
            </w:pPr>
            <w:r>
              <w:rPr>
                <w:rFonts w:ascii="Calibri" w:cs="Calibri" w:eastAsia="Calibri" w:hAnsi="Calibri"/>
                <w:b/>
                <w:bCs/>
                <w:color w:val="FFFFFF"/>
                <w:sz w:val="22"/>
                <w:szCs w:val="22"/>
              </w:rPr>
              <w:t xml:space="preserve">FRIDAY</w:t>
            </w:r>
            <w:r>
              <w:rPr>
                <w:rFonts w:ascii="Calibri" w:cs="Calibri" w:eastAsia="Calibri" w:hAnsi="Calibri"/>
                <w:color w:val="AAAAAA"/>
                <w:sz w:val="20"/>
                <w:szCs w:val="20"/>
              </w:rPr>
              <w:t xml:space="preserve">   —   Final Review &amp; Audit Folder Preparation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1.</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Final evidence check: every item must be dated, attributable to a named resource, and cover the audit period.</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2.</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Organise audit folder: one subfolder per control, named by clause number (e.g. '8.2 Privileged Access').</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3.</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Export the Defender for Cloud ISO 27001 compliance report — single most valuable artefact for the audit.</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4.</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Prepare a one-page Azure scope summary: subscriptions in scope, key services, shared responsibility boundary.</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5.</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For any NO item not resolved: write a one-paragraph compensating control or risk acceptance statement.</w:t>
            </w:r>
          </w:p>
        </w:tc>
      </w:tr>
      <w:tr>
        <w:tc>
          <w:tcPr>
            <w:tcW w:type="dxa" w:w="64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80"/>
            </w:tcMar>
          </w:tcPr>
          <w:p>
            <w:pPr>
              <w:spacing w:after="40" w:before="40"/>
            </w:pPr>
            <w:r>
              <w:rPr>
                <w:rFonts w:ascii="Calibri" w:cs="Calibri" w:eastAsia="Calibri" w:hAnsi="Calibri"/>
                <w:color w:val="555555"/>
                <w:sz w:val="18"/>
                <w:szCs w:val="18"/>
              </w:rPr>
              <w:t xml:space="preserve">6.</w:t>
            </w:r>
          </w:p>
        </w:tc>
        <w:tc>
          <w:tcPr>
            <w:tcW w:type="dxa" w:w="872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spacing w:after="40" w:before="40"/>
            </w:pPr>
            <w:r>
              <w:rPr>
                <w:rFonts w:ascii="Calibri" w:cs="Calibri" w:eastAsia="Calibri" w:hAnsi="Calibri"/>
                <w:color w:val="1A1A1A"/>
                <w:sz w:val="18"/>
                <w:szCs w:val="18"/>
              </w:rPr>
              <w:t xml:space="preserve">Confirm logistics: who attends, access to Azure portal during the audit, documents ready to share.</w:t>
            </w:r>
          </w:p>
        </w:tc>
      </w:tr>
    </w:tbl>
    <w:p>
      <w:pPr>
        <w:spacing w:after="0" w:before="140"/>
      </w:pPr>
      <w:r>
        <w:t xml:space="preserve"/>
      </w:r>
    </w:p>
    <w:p>
      <w:pPr>
        <w:pBdr>
          <w:bottom w:val="single" w:color="2D2D2D" w:sz="6" w:space="1"/>
        </w:pBdr>
        <w:spacing w:after="120" w:before="320"/>
      </w:pPr>
      <w:r>
        <w:rPr>
          <w:rFonts w:ascii="Calibri" w:cs="Calibri" w:eastAsia="Calibri" w:hAnsi="Calibri"/>
          <w:b/>
          <w:bCs/>
          <w:color w:val="2D2D2D"/>
          <w:sz w:val="28"/>
          <w:szCs w:val="28"/>
        </w:rPr>
        <w:t xml:space="preserve">Section 2 — Evidence Checklist by Control</w:t>
      </w:r>
    </w:p>
    <w:p>
      <w:pPr>
        <w:spacing w:after="40" w:before="40"/>
      </w:pPr>
      <w:r>
        <w:rPr>
          <w:rFonts w:ascii="Calibri" w:cs="Calibri" w:eastAsia="Calibri" w:hAnsi="Calibri"/>
          <w:color w:val="555555"/>
          <w:sz w:val="19"/>
          <w:szCs w:val="19"/>
        </w:rPr>
        <w:t xml:space="preserve">Work through this table control by control. The 'How to Get It' column tells you exactly where to go in Azure. Mark your status honestly — PARTIAL evidence flagged now is manageable; a gap found by the auditor is not.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EAF4EE" w:val="clear"/>
            <w:tcMar>
              <w:top w:type="dxa" w:w="80"/>
              <w:left w:type="dxa" w:w="140"/>
              <w:bottom w:type="dxa" w:w="80"/>
              <w:right w:type="dxa" w:w="120"/>
            </w:tcMar>
          </w:tcPr>
          <w:p>
            <w:pPr>
              <w:spacing w:after="40" w:before="40"/>
            </w:pPr>
            <w:r>
              <w:rPr>
                <w:rFonts w:ascii="Calibri" w:cs="Calibri" w:eastAsia="Calibri" w:hAnsi="Calibri"/>
                <w:color w:val="1E5C32"/>
                <w:sz w:val="17"/>
                <w:szCs w:val="17"/>
              </w:rPr>
              <w:t xml:space="preserve">YES — Evidence complete, dated, and attributable</w:t>
            </w:r>
          </w:p>
        </w:tc>
        <w:tc>
          <w:tcPr>
            <w:tcW w:type="dxa" w:w="3120"/>
            <w:tcBorders>
              <w:top w:val="single" w:color="BBBBBB" w:sz="4"/>
              <w:left w:val="single" w:color="BBBBBB" w:sz="4"/>
              <w:bottom w:val="single" w:color="BBBBBB" w:sz="4"/>
              <w:right w:val="single" w:color="BBBBBB" w:sz="4"/>
            </w:tcBorders>
            <w:shd w:fill="FDF3DC" w:val="clear"/>
            <w:tcMar>
              <w:top w:type="dxa" w:w="80"/>
              <w:left w:type="dxa" w:w="140"/>
              <w:bottom w:type="dxa" w:w="80"/>
              <w:right w:type="dxa" w:w="120"/>
            </w:tcMar>
          </w:tcPr>
          <w:p>
            <w:pPr>
              <w:spacing w:after="40" w:before="40"/>
            </w:pPr>
            <w:r>
              <w:rPr>
                <w:rFonts w:ascii="Calibri" w:cs="Calibri" w:eastAsia="Calibri" w:hAnsi="Calibri"/>
                <w:color w:val="7A5000"/>
                <w:sz w:val="17"/>
                <w:szCs w:val="17"/>
              </w:rPr>
              <w:t xml:space="preserve">PARTIAL — Evidence exists but incomplete or outdated</w:t>
            </w:r>
          </w:p>
        </w:tc>
        <w:tc>
          <w:tcPr>
            <w:tcW w:type="dxa" w:w="3120"/>
            <w:tcBorders>
              <w:top w:val="single" w:color="BBBBBB" w:sz="4"/>
              <w:left w:val="single" w:color="BBBBBB" w:sz="4"/>
              <w:bottom w:val="single" w:color="BBBBBB" w:sz="4"/>
              <w:right w:val="single" w:color="BBBBBB" w:sz="4"/>
            </w:tcBorders>
            <w:shd w:fill="FAEAEA" w:val="clear"/>
            <w:tcMar>
              <w:top w:type="dxa" w:w="80"/>
              <w:left w:type="dxa" w:w="140"/>
              <w:bottom w:type="dxa" w:w="80"/>
              <w:right w:type="dxa" w:w="120"/>
            </w:tcMar>
          </w:tcPr>
          <w:p>
            <w:pPr>
              <w:spacing w:after="40" w:before="40"/>
            </w:pPr>
            <w:r>
              <w:rPr>
                <w:rFonts w:ascii="Calibri" w:cs="Calibri" w:eastAsia="Calibri" w:hAnsi="Calibri"/>
                <w:color w:val="8B1A1A"/>
                <w:sz w:val="17"/>
                <w:szCs w:val="17"/>
              </w:rPr>
              <w:t xml:space="preserve">NO — Evidence does not exist — action required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1600"/>
        <w:gridCol w:w="2700"/>
        <w:gridCol w:w="1700"/>
      </w:tblGrid>
      <w:tr>
        <w:tc>
          <w:tcPr>
            <w:tcW w:type="dxa" w:w="560"/>
            <w:tcBorders>
              <w:top w:val="single" w:color="BBBBBB" w:sz="4"/>
              <w:left w:val="single" w:color="BBBBBB" w:sz="4"/>
              <w:bottom w:val="single" w:color="BBBBBB" w:sz="4"/>
              <w:right w:val="single" w:color="BBBBBB" w:sz="4"/>
            </w:tcBorders>
            <w:shd w:fill="2D2D2D" w:val="clear"/>
            <w:tcMar>
              <w:top w:type="dxa" w:w="80"/>
              <w:left w:type="dxa" w:w="120"/>
              <w:bottom w:type="dxa" w:w="80"/>
              <w:right w:type="dxa" w:w="80"/>
            </w:tcMar>
          </w:tcPr>
          <w:p>
            <w:pPr>
              <w:spacing w:after="40" w:before="40"/>
            </w:pPr>
            <w:r>
              <w:rPr>
                <w:rFonts w:ascii="Calibri" w:cs="Calibri" w:eastAsia="Calibri" w:hAnsi="Calibri"/>
                <w:b/>
                <w:bCs/>
                <w:color w:val="FFFFFF"/>
                <w:sz w:val="18"/>
                <w:szCs w:val="18"/>
              </w:rPr>
              <w:t xml:space="preserve">Clause</w:t>
            </w:r>
          </w:p>
        </w:tc>
        <w:tc>
          <w:tcPr>
            <w:tcW w:type="dxa" w:w="2800"/>
            <w:tcBorders>
              <w:top w:val="single" w:color="BBBBBB" w:sz="4"/>
              <w:left w:val="single" w:color="BBBBBB" w:sz="4"/>
              <w:bottom w:val="single" w:color="BBBBBB" w:sz="4"/>
              <w:right w:val="single" w:color="BBBBBB" w:sz="4"/>
            </w:tcBorders>
            <w:shd w:fill="2D2D2D" w:val="clear"/>
            <w:tcMar>
              <w:top w:type="dxa" w:w="80"/>
              <w:left w:type="dxa" w:w="120"/>
              <w:bottom w:type="dxa" w:w="80"/>
              <w:right w:type="dxa" w:w="80"/>
            </w:tcMar>
          </w:tcPr>
          <w:p>
            <w:pPr>
              <w:spacing w:after="40" w:before="40"/>
            </w:pPr>
            <w:r>
              <w:rPr>
                <w:rFonts w:ascii="Calibri" w:cs="Calibri" w:eastAsia="Calibri" w:hAnsi="Calibri"/>
                <w:b/>
                <w:bCs/>
                <w:color w:val="FFFFFF"/>
                <w:sz w:val="18"/>
                <w:szCs w:val="18"/>
              </w:rPr>
              <w:t xml:space="preserve">Control</w:t>
            </w:r>
          </w:p>
        </w:tc>
        <w:tc>
          <w:tcPr>
            <w:tcW w:type="dxa" w:w="1600"/>
            <w:tcBorders>
              <w:top w:val="single" w:color="BBBBBB" w:sz="4"/>
              <w:left w:val="single" w:color="BBBBBB" w:sz="4"/>
              <w:bottom w:val="single" w:color="BBBBBB" w:sz="4"/>
              <w:right w:val="single" w:color="BBBBBB" w:sz="4"/>
            </w:tcBorders>
            <w:shd w:fill="2D2D2D" w:val="clear"/>
            <w:tcMar>
              <w:top w:type="dxa" w:w="80"/>
              <w:left w:type="dxa" w:w="120"/>
              <w:bottom w:type="dxa" w:w="80"/>
              <w:right w:type="dxa" w:w="80"/>
            </w:tcMar>
          </w:tcPr>
          <w:p>
            <w:pPr>
              <w:spacing w:after="40" w:before="40"/>
            </w:pPr>
            <w:r>
              <w:rPr>
                <w:rFonts w:ascii="Calibri" w:cs="Calibri" w:eastAsia="Calibri" w:hAnsi="Calibri"/>
                <w:b/>
                <w:bCs/>
                <w:color w:val="FFFFFF"/>
                <w:sz w:val="18"/>
                <w:szCs w:val="18"/>
              </w:rPr>
              <w:t xml:space="preserve">Azure Service</w:t>
            </w:r>
          </w:p>
        </w:tc>
        <w:tc>
          <w:tcPr>
            <w:tcW w:type="dxa" w:w="2700"/>
            <w:tcBorders>
              <w:top w:val="single" w:color="BBBBBB" w:sz="4"/>
              <w:left w:val="single" w:color="BBBBBB" w:sz="4"/>
              <w:bottom w:val="single" w:color="BBBBBB" w:sz="4"/>
              <w:right w:val="single" w:color="BBBBBB" w:sz="4"/>
            </w:tcBorders>
            <w:shd w:fill="2D2D2D" w:val="clear"/>
            <w:tcMar>
              <w:top w:type="dxa" w:w="80"/>
              <w:left w:type="dxa" w:w="120"/>
              <w:bottom w:type="dxa" w:w="80"/>
              <w:right w:type="dxa" w:w="80"/>
            </w:tcMar>
          </w:tcPr>
          <w:p>
            <w:pPr>
              <w:spacing w:after="40" w:before="40"/>
            </w:pPr>
            <w:r>
              <w:rPr>
                <w:rFonts w:ascii="Calibri" w:cs="Calibri" w:eastAsia="Calibri" w:hAnsi="Calibri"/>
                <w:b/>
                <w:bCs/>
                <w:color w:val="FFFFFF"/>
                <w:sz w:val="18"/>
                <w:szCs w:val="18"/>
              </w:rPr>
              <w:t xml:space="preserve">Evidence Required + How to Get It</w:t>
            </w:r>
          </w:p>
        </w:tc>
        <w:tc>
          <w:tcPr>
            <w:tcW w:type="dxa" w:w="1700"/>
            <w:tcBorders>
              <w:top w:val="single" w:color="BBBBBB" w:sz="4"/>
              <w:left w:val="single" w:color="BBBBBB" w:sz="4"/>
              <w:bottom w:val="single" w:color="BBBBBB" w:sz="4"/>
              <w:right w:val="single" w:color="BBBBBB" w:sz="4"/>
            </w:tcBorders>
            <w:shd w:fill="2D2D2D" w:val="clear"/>
            <w:tcMar>
              <w:top w:type="dxa" w:w="80"/>
              <w:left w:type="dxa" w:w="120"/>
              <w:bottom w:type="dxa" w:w="80"/>
              <w:right w:type="dxa" w:w="80"/>
            </w:tcMar>
          </w:tcPr>
          <w:p>
            <w:pPr>
              <w:spacing w:after="40" w:before="40"/>
            </w:pPr>
            <w:r>
              <w:rPr>
                <w:rFonts w:ascii="Calibri" w:cs="Calibri" w:eastAsia="Calibri" w:hAnsi="Calibri"/>
                <w:b/>
                <w:bCs/>
                <w:color w:val="FFFFFF"/>
                <w:sz w:val="18"/>
                <w:szCs w:val="18"/>
              </w:rPr>
              <w:t xml:space="preserve">Status / Gap</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5.9</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Inventory of Information and Other Associated Assets</w:t>
            </w:r>
          </w:p>
          <w:p>
            <w:pPr>
              <w:spacing w:after="40" w:before="40"/>
            </w:pPr>
            <w:r>
              <w:rPr>
                <w:rFonts w:ascii="Calibri" w:cs="Calibri" w:eastAsia="Calibri" w:hAnsi="Calibri"/>
                <w:i/>
                <w:iCs/>
                <w:color w:val="555555"/>
                <w:sz w:val="15"/>
                <w:szCs w:val="15"/>
              </w:rPr>
              <w:t xml:space="preserve">CLI: az graph query -q "Resources | project name, type, resourceG…</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Azure Resource Graph / Tags</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Asset register export showing all Azure resources in scope with owner, classification, and data sensitivity tags. Must cover all subscriptions in scope.</w:t>
            </w:r>
          </w:p>
          <w:p>
            <w:pPr>
              <w:spacing w:after="0" w:before="40"/>
            </w:pPr>
            <w:r>
              <w:t xml:space="preserve"/>
            </w:r>
          </w:p>
          <w:p>
            <w:pPr>
              <w:spacing w:after="40" w:before="40"/>
            </w:pPr>
            <w:r>
              <w:rPr>
                <w:rFonts w:ascii="Calibri" w:cs="Calibri" w:eastAsia="Calibri" w:hAnsi="Calibri"/>
                <w:i/>
                <w:iCs/>
                <w:color w:val="555555"/>
                <w:sz w:val="16"/>
                <w:szCs w:val="16"/>
              </w:rPr>
              <w:t xml:space="preserve">→ Run Azure Resource Graph query: resources | project name, type, resourceGroup, subscriptionId, tags. Export to CSV. Verify Owner and Classification tags exist.</w:t>
            </w:r>
          </w:p>
        </w:tc>
        <w:tc>
          <w:tcPr>
            <w:tcW w:type="dxa" w:w="1700"/>
            <w:tcBorders>
              <w:top w:val="single" w:color="BBBBBB" w:sz="4"/>
              <w:left w:val="single" w:color="BBBBBB" w:sz="4"/>
              <w:bottom w:val="single" w:color="BBBBBB" w:sz="4"/>
              <w:right w:val="single" w:color="BBBBBB" w:sz="4"/>
            </w:tcBorders>
            <w:shd w:fill="FDF3DC" w:val="clear"/>
            <w:tcMar>
              <w:top w:type="dxa" w:w="80"/>
              <w:left w:type="dxa" w:w="120"/>
              <w:bottom w:type="dxa" w:w="80"/>
              <w:right w:type="dxa" w:w="80"/>
            </w:tcMar>
          </w:tcPr>
          <w:p>
            <w:pPr>
              <w:spacing w:after="40" w:before="40"/>
            </w:pPr>
            <w:r>
              <w:rPr>
                <w:rFonts w:ascii="Calibri" w:cs="Calibri" w:eastAsia="Calibri" w:hAnsi="Calibri"/>
                <w:b/>
                <w:bCs/>
                <w:color w:val="7A5000"/>
                <w:sz w:val="18"/>
                <w:szCs w:val="18"/>
              </w:rPr>
              <w:t xml:space="preserve">PARTIAL</w:t>
            </w:r>
          </w:p>
          <w:p>
            <w:pPr>
              <w:spacing w:after="40" w:before="40"/>
            </w:pPr>
            <w:r>
              <w:rPr>
                <w:rFonts w:ascii="Calibri" w:cs="Calibri" w:eastAsia="Calibri" w:hAnsi="Calibri"/>
                <w:i/>
                <w:iCs/>
                <w:color w:val="555555"/>
                <w:sz w:val="15"/>
                <w:szCs w:val="15"/>
              </w:rPr>
              <w:t xml:space="preserve">Tags incomplete on several resources — Owner and Classification missing on older resources</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5.15</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Cloud Access Management</w:t>
            </w:r>
          </w:p>
          <w:p>
            <w:pPr>
              <w:spacing w:after="40" w:before="40"/>
            </w:pPr>
            <w:r>
              <w:rPr>
                <w:rFonts w:ascii="Calibri" w:cs="Calibri" w:eastAsia="Calibri" w:hAnsi="Calibri"/>
                <w:i/>
                <w:iCs/>
                <w:color w:val="555555"/>
                <w:sz w:val="15"/>
                <w:szCs w:val="15"/>
              </w:rPr>
              <w:t xml:space="preserve">CLI: az role assignment list --all --output table</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Entra ID / Azure RBAC</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RBAC role assignment export per subscription showing who has what access. Must show no standing Owner/Contributor assignments to non-admin accounts. Reference RBAC2025.xlsx.</w:t>
            </w:r>
          </w:p>
          <w:p>
            <w:pPr>
              <w:spacing w:after="0" w:before="40"/>
            </w:pPr>
            <w:r>
              <w:t xml:space="preserve"/>
            </w:r>
          </w:p>
          <w:p>
            <w:pPr>
              <w:spacing w:after="40" w:before="40"/>
            </w:pPr>
            <w:r>
              <w:rPr>
                <w:rFonts w:ascii="Calibri" w:cs="Calibri" w:eastAsia="Calibri" w:hAnsi="Calibri"/>
                <w:i/>
                <w:iCs/>
                <w:color w:val="555555"/>
                <w:sz w:val="16"/>
                <w:szCs w:val="16"/>
              </w:rPr>
              <w:t xml:space="preserve">→ Azure Portal → Subscriptions → Access Control (IAM) → Role Assignments → Download. Also export from Entra ID: Users → Access Reviews.</w:t>
            </w:r>
          </w:p>
        </w:tc>
        <w:tc>
          <w:tcPr>
            <w:tcW w:type="dxa" w:w="1700"/>
            <w:tcBorders>
              <w:top w:val="single" w:color="BBBBBB" w:sz="4"/>
              <w:left w:val="single" w:color="BBBBBB" w:sz="4"/>
              <w:bottom w:val="single" w:color="BBBBBB" w:sz="4"/>
              <w:right w:val="single" w:color="BBBBBB" w:sz="4"/>
            </w:tcBorders>
            <w:shd w:fill="FDF3DC" w:val="clear"/>
            <w:tcMar>
              <w:top w:type="dxa" w:w="80"/>
              <w:left w:type="dxa" w:w="120"/>
              <w:bottom w:type="dxa" w:w="80"/>
              <w:right w:type="dxa" w:w="80"/>
            </w:tcMar>
          </w:tcPr>
          <w:p>
            <w:pPr>
              <w:spacing w:after="40" w:before="40"/>
            </w:pPr>
            <w:r>
              <w:rPr>
                <w:rFonts w:ascii="Calibri" w:cs="Calibri" w:eastAsia="Calibri" w:hAnsi="Calibri"/>
                <w:b/>
                <w:bCs/>
                <w:color w:val="7A5000"/>
                <w:sz w:val="18"/>
                <w:szCs w:val="18"/>
              </w:rPr>
              <w:t xml:space="preserve">PARTIAL</w:t>
            </w:r>
          </w:p>
          <w:p>
            <w:pPr>
              <w:spacing w:after="40" w:before="40"/>
            </w:pPr>
            <w:r>
              <w:rPr>
                <w:rFonts w:ascii="Calibri" w:cs="Calibri" w:eastAsia="Calibri" w:hAnsi="Calibri"/>
                <w:i/>
                <w:iCs/>
                <w:color w:val="555555"/>
                <w:sz w:val="15"/>
                <w:szCs w:val="15"/>
              </w:rPr>
              <w:t xml:space="preserve">RBAC2025.xlsx exists but needs validation that all assignments match current active staff</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5.17</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Authentication Information</w:t>
            </w:r>
          </w:p>
          <w:p>
            <w:pPr>
              <w:spacing w:after="40" w:before="40"/>
            </w:pPr>
            <w:r>
              <w:rPr>
                <w:rFonts w:ascii="Calibri" w:cs="Calibri" w:eastAsia="Calibri" w:hAnsi="Calibri"/>
                <w:i/>
                <w:iCs/>
                <w:color w:val="555555"/>
                <w:sz w:val="15"/>
                <w:szCs w:val="15"/>
              </w:rPr>
              <w:t xml:space="preserve"/>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Entra ID</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Password policy configuration, MFA enforcement status for all users, SSPR (Self Service Password Reset) configuration, authentication methods policy export.</w:t>
            </w:r>
          </w:p>
          <w:p>
            <w:pPr>
              <w:spacing w:after="0" w:before="40"/>
            </w:pPr>
            <w:r>
              <w:t xml:space="preserve"/>
            </w:r>
          </w:p>
          <w:p>
            <w:pPr>
              <w:spacing w:after="40" w:before="40"/>
            </w:pPr>
            <w:r>
              <w:rPr>
                <w:rFonts w:ascii="Calibri" w:cs="Calibri" w:eastAsia="Calibri" w:hAnsi="Calibri"/>
                <w:i/>
                <w:iCs/>
                <w:color w:val="555555"/>
                <w:sz w:val="16"/>
                <w:szCs w:val="16"/>
              </w:rPr>
              <w:t xml:space="preserve">→ Entra ID → Authentication Methods → Policies. Entra ID → Security → MFA → Getting started → MFA Status report. Export user MFA registration details.</w:t>
            </w:r>
          </w:p>
        </w:tc>
        <w:tc>
          <w:tcPr>
            <w:tcW w:type="dxa" w:w="1700"/>
            <w:tcBorders>
              <w:top w:val="single" w:color="BBBBBB" w:sz="4"/>
              <w:left w:val="single" w:color="BBBBBB" w:sz="4"/>
              <w:bottom w:val="single" w:color="BBBBBB" w:sz="4"/>
              <w:right w:val="single" w:color="BBBBBB" w:sz="4"/>
            </w:tcBorders>
            <w:shd w:fill="FAEAEA" w:val="clear"/>
            <w:tcMar>
              <w:top w:type="dxa" w:w="80"/>
              <w:left w:type="dxa" w:w="120"/>
              <w:bottom w:type="dxa" w:w="80"/>
              <w:right w:type="dxa" w:w="80"/>
            </w:tcMar>
          </w:tcPr>
          <w:p>
            <w:pPr>
              <w:spacing w:after="40" w:before="40"/>
            </w:pPr>
            <w:r>
              <w:rPr>
                <w:rFonts w:ascii="Calibri" w:cs="Calibri" w:eastAsia="Calibri" w:hAnsi="Calibri"/>
                <w:b/>
                <w:bCs/>
                <w:color w:val="8B1A1A"/>
                <w:sz w:val="18"/>
                <w:szCs w:val="18"/>
              </w:rPr>
              <w:t xml:space="preserve">NO</w:t>
            </w:r>
          </w:p>
          <w:p>
            <w:pPr>
              <w:spacing w:after="40" w:before="40"/>
            </w:pPr>
            <w:r>
              <w:rPr>
                <w:rFonts w:ascii="Calibri" w:cs="Calibri" w:eastAsia="Calibri" w:hAnsi="Calibri"/>
                <w:i/>
                <w:iCs/>
                <w:color w:val="555555"/>
                <w:sz w:val="15"/>
                <w:szCs w:val="15"/>
              </w:rPr>
              <w:t xml:space="preserve">No documented evidence of MFA status or authentication policy export on file</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8.2</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Privileged Access Rights</w:t>
            </w:r>
          </w:p>
          <w:p>
            <w:pPr>
              <w:spacing w:after="40" w:before="40"/>
            </w:pPr>
            <w:r>
              <w:rPr>
                <w:rFonts w:ascii="Calibri" w:cs="Calibri" w:eastAsia="Calibri" w:hAnsi="Calibri"/>
                <w:i/>
                <w:iCs/>
                <w:color w:val="555555"/>
                <w:sz w:val="15"/>
                <w:szCs w:val="15"/>
              </w:rPr>
              <w:t xml:space="preserve">CLI: az role assignment list --all --query "[?roleDefinitionName=…</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Entra ID PIM</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PIM eligible and active role assignment list. Just-in-time activation log for the review period. Evidence that Global Admin and Owner roles require MFA and approval.</w:t>
            </w:r>
          </w:p>
          <w:p>
            <w:pPr>
              <w:spacing w:after="0" w:before="40"/>
            </w:pPr>
            <w:r>
              <w:t xml:space="preserve"/>
            </w:r>
          </w:p>
          <w:p>
            <w:pPr>
              <w:spacing w:after="40" w:before="40"/>
            </w:pPr>
            <w:r>
              <w:rPr>
                <w:rFonts w:ascii="Calibri" w:cs="Calibri" w:eastAsia="Calibri" w:hAnsi="Calibri"/>
                <w:i/>
                <w:iCs/>
                <w:color w:val="555555"/>
                <w:sz w:val="16"/>
                <w:szCs w:val="16"/>
              </w:rPr>
              <w:t xml:space="preserve">→ Entra ID → Identity Governance → Privileged Identity Management → Azure AD roles → Assignments. Export eligible and active assignments. Access reviews if configured.</w:t>
            </w:r>
          </w:p>
        </w:tc>
        <w:tc>
          <w:tcPr>
            <w:tcW w:type="dxa" w:w="1700"/>
            <w:tcBorders>
              <w:top w:val="single" w:color="BBBBBB" w:sz="4"/>
              <w:left w:val="single" w:color="BBBBBB" w:sz="4"/>
              <w:bottom w:val="single" w:color="BBBBBB" w:sz="4"/>
              <w:right w:val="single" w:color="BBBBBB" w:sz="4"/>
            </w:tcBorders>
            <w:shd w:fill="FAEAEA" w:val="clear"/>
            <w:tcMar>
              <w:top w:type="dxa" w:w="80"/>
              <w:left w:type="dxa" w:w="120"/>
              <w:bottom w:type="dxa" w:w="80"/>
              <w:right w:type="dxa" w:w="80"/>
            </w:tcMar>
          </w:tcPr>
          <w:p>
            <w:pPr>
              <w:spacing w:after="40" w:before="40"/>
            </w:pPr>
            <w:r>
              <w:rPr>
                <w:rFonts w:ascii="Calibri" w:cs="Calibri" w:eastAsia="Calibri" w:hAnsi="Calibri"/>
                <w:b/>
                <w:bCs/>
                <w:color w:val="8B1A1A"/>
                <w:sz w:val="18"/>
                <w:szCs w:val="18"/>
              </w:rPr>
              <w:t xml:space="preserve">NO</w:t>
            </w:r>
          </w:p>
          <w:p>
            <w:pPr>
              <w:spacing w:after="40" w:before="40"/>
            </w:pPr>
            <w:r>
              <w:rPr>
                <w:rFonts w:ascii="Calibri" w:cs="Calibri" w:eastAsia="Calibri" w:hAnsi="Calibri"/>
                <w:i/>
                <w:iCs/>
                <w:color w:val="555555"/>
                <w:sz w:val="15"/>
                <w:szCs w:val="15"/>
              </w:rPr>
              <w:t xml:space="preserve">No PIM activation log exported for the audit period — critical gap</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8.3</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Information Access Rights</w:t>
            </w:r>
          </w:p>
          <w:p>
            <w:pPr>
              <w:spacing w:after="40" w:before="40"/>
            </w:pPr>
            <w:r>
              <w:rPr>
                <w:rFonts w:ascii="Calibri" w:cs="Calibri" w:eastAsia="Calibri" w:hAnsi="Calibri"/>
                <w:i/>
                <w:iCs/>
                <w:color w:val="555555"/>
                <w:sz w:val="15"/>
                <w:szCs w:val="15"/>
              </w:rPr>
              <w:t xml:space="preserve"/>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Entra ID / Azure RBAC</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Evidence that access is granted based on business need (request + approval records). User access review results. Joiner/mover/leaver process evidence.</w:t>
            </w:r>
          </w:p>
          <w:p>
            <w:pPr>
              <w:spacing w:after="0" w:before="40"/>
            </w:pPr>
            <w:r>
              <w:t xml:space="preserve"/>
            </w:r>
          </w:p>
          <w:p>
            <w:pPr>
              <w:spacing w:after="40" w:before="40"/>
            </w:pPr>
            <w:r>
              <w:rPr>
                <w:rFonts w:ascii="Calibri" w:cs="Calibri" w:eastAsia="Calibri" w:hAnsi="Calibri"/>
                <w:i/>
                <w:iCs/>
                <w:color w:val="555555"/>
                <w:sz w:val="16"/>
                <w:szCs w:val="16"/>
              </w:rPr>
              <w:t xml:space="preserve">→ Entra ID → Identity Governance → Access Reviews → Results. Pull sample access request tickets from ITSM. HR offboarding confirmation emails for leavers.</w:t>
            </w:r>
          </w:p>
        </w:tc>
        <w:tc>
          <w:tcPr>
            <w:tcW w:type="dxa" w:w="1700"/>
            <w:tcBorders>
              <w:top w:val="single" w:color="BBBBBB" w:sz="4"/>
              <w:left w:val="single" w:color="BBBBBB" w:sz="4"/>
              <w:bottom w:val="single" w:color="BBBBBB" w:sz="4"/>
              <w:right w:val="single" w:color="BBBBBB" w:sz="4"/>
            </w:tcBorders>
            <w:shd w:fill="FDF3DC" w:val="clear"/>
            <w:tcMar>
              <w:top w:type="dxa" w:w="80"/>
              <w:left w:type="dxa" w:w="120"/>
              <w:bottom w:type="dxa" w:w="80"/>
              <w:right w:type="dxa" w:w="80"/>
            </w:tcMar>
          </w:tcPr>
          <w:p>
            <w:pPr>
              <w:spacing w:after="40" w:before="40"/>
            </w:pPr>
            <w:r>
              <w:rPr>
                <w:rFonts w:ascii="Calibri" w:cs="Calibri" w:eastAsia="Calibri" w:hAnsi="Calibri"/>
                <w:b/>
                <w:bCs/>
                <w:color w:val="7A5000"/>
                <w:sz w:val="18"/>
                <w:szCs w:val="18"/>
              </w:rPr>
              <w:t xml:space="preserve">PARTIAL</w:t>
            </w:r>
          </w:p>
          <w:p>
            <w:pPr>
              <w:spacing w:after="40" w:before="40"/>
            </w:pPr>
            <w:r>
              <w:rPr>
                <w:rFonts w:ascii="Calibri" w:cs="Calibri" w:eastAsia="Calibri" w:hAnsi="Calibri"/>
                <w:i/>
                <w:iCs/>
                <w:color w:val="555555"/>
                <w:sz w:val="15"/>
                <w:szCs w:val="15"/>
              </w:rPr>
              <w:t xml:space="preserve">Access reviews exist but results export not prepared. Leaver evidence needs pulling</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8.5</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Secure Authentication</w:t>
            </w:r>
          </w:p>
          <w:p>
            <w:pPr>
              <w:spacing w:after="40" w:before="40"/>
            </w:pPr>
            <w:r>
              <w:rPr>
                <w:rFonts w:ascii="Calibri" w:cs="Calibri" w:eastAsia="Calibri" w:hAnsi="Calibri"/>
                <w:i/>
                <w:iCs/>
                <w:color w:val="555555"/>
                <w:sz w:val="15"/>
                <w:szCs w:val="15"/>
              </w:rPr>
              <w:t xml:space="preserve"/>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Entra ID Conditional Access</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Conditional Access policy list showing: MFA required for all users, compliant device requirement, block legacy authentication, sign-in risk policies.</w:t>
            </w:r>
          </w:p>
          <w:p>
            <w:pPr>
              <w:spacing w:after="0" w:before="40"/>
            </w:pPr>
            <w:r>
              <w:t xml:space="preserve"/>
            </w:r>
          </w:p>
          <w:p>
            <w:pPr>
              <w:spacing w:after="40" w:before="40"/>
            </w:pPr>
            <w:r>
              <w:rPr>
                <w:rFonts w:ascii="Calibri" w:cs="Calibri" w:eastAsia="Calibri" w:hAnsi="Calibri"/>
                <w:i/>
                <w:iCs/>
                <w:color w:val="555555"/>
                <w:sz w:val="16"/>
                <w:szCs w:val="16"/>
              </w:rPr>
              <w:t xml:space="preserve">→ Entra ID → Security → Conditional Access → Policies. Export policy list. Screenshot each active policy showing conditions and grant controls.</w:t>
            </w:r>
          </w:p>
        </w:tc>
        <w:tc>
          <w:tcPr>
            <w:tcW w:type="dxa" w:w="1700"/>
            <w:tcBorders>
              <w:top w:val="single" w:color="BBBBBB" w:sz="4"/>
              <w:left w:val="single" w:color="BBBBBB" w:sz="4"/>
              <w:bottom w:val="single" w:color="BBBBBB" w:sz="4"/>
              <w:right w:val="single" w:color="BBBBBB" w:sz="4"/>
            </w:tcBorders>
            <w:shd w:fill="FDF3DC" w:val="clear"/>
            <w:tcMar>
              <w:top w:type="dxa" w:w="80"/>
              <w:left w:type="dxa" w:w="120"/>
              <w:bottom w:type="dxa" w:w="80"/>
              <w:right w:type="dxa" w:w="80"/>
            </w:tcMar>
          </w:tcPr>
          <w:p>
            <w:pPr>
              <w:spacing w:after="40" w:before="40"/>
            </w:pPr>
            <w:r>
              <w:rPr>
                <w:rFonts w:ascii="Calibri" w:cs="Calibri" w:eastAsia="Calibri" w:hAnsi="Calibri"/>
                <w:b/>
                <w:bCs/>
                <w:color w:val="7A5000"/>
                <w:sz w:val="18"/>
                <w:szCs w:val="18"/>
              </w:rPr>
              <w:t xml:space="preserve">PARTIAL</w:t>
            </w:r>
          </w:p>
          <w:p>
            <w:pPr>
              <w:spacing w:after="40" w:before="40"/>
            </w:pPr>
            <w:r>
              <w:rPr>
                <w:rFonts w:ascii="Calibri" w:cs="Calibri" w:eastAsia="Calibri" w:hAnsi="Calibri"/>
                <w:i/>
                <w:iCs/>
                <w:color w:val="555555"/>
                <w:sz w:val="15"/>
                <w:szCs w:val="15"/>
              </w:rPr>
              <w:t xml:space="preserve">Policies configured but not exported/screenshotted. Legacy auth block needs verification</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8.7</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Protection Against Malware</w:t>
            </w:r>
          </w:p>
          <w:p>
            <w:pPr>
              <w:spacing w:after="40" w:before="40"/>
            </w:pPr>
            <w:r>
              <w:rPr>
                <w:rFonts w:ascii="Calibri" w:cs="Calibri" w:eastAsia="Calibri" w:hAnsi="Calibri"/>
                <w:i/>
                <w:iCs/>
                <w:color w:val="555555"/>
                <w:sz w:val="15"/>
                <w:szCs w:val="15"/>
              </w:rPr>
              <w:t xml:space="preserve">CLI: az security assessment list --query "[?displayName contains …</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Defender for Cloud / Defender for Endpoint</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Defender for Cloud recommendations for malware protection. Endpoint protection status across all in-scope VMs. Any malware detection events and response actions.</w:t>
            </w:r>
          </w:p>
          <w:p>
            <w:pPr>
              <w:spacing w:after="0" w:before="40"/>
            </w:pPr>
            <w:r>
              <w:t xml:space="preserve"/>
            </w:r>
          </w:p>
          <w:p>
            <w:pPr>
              <w:spacing w:after="40" w:before="40"/>
            </w:pPr>
            <w:r>
              <w:rPr>
                <w:rFonts w:ascii="Calibri" w:cs="Calibri" w:eastAsia="Calibri" w:hAnsi="Calibri"/>
                <w:i/>
                <w:iCs/>
                <w:color w:val="555555"/>
                <w:sz w:val="16"/>
                <w:szCs w:val="16"/>
              </w:rPr>
              <w:t xml:space="preserve">→ Defender for Cloud → Recommendations → filter 'Install endpoint protection'. Defender for Endpoint → Device inventory → filter by protection status.</w:t>
            </w:r>
          </w:p>
        </w:tc>
        <w:tc>
          <w:tcPr>
            <w:tcW w:type="dxa" w:w="1700"/>
            <w:tcBorders>
              <w:top w:val="single" w:color="BBBBBB" w:sz="4"/>
              <w:left w:val="single" w:color="BBBBBB" w:sz="4"/>
              <w:bottom w:val="single" w:color="BBBBBB" w:sz="4"/>
              <w:right w:val="single" w:color="BBBBBB" w:sz="4"/>
            </w:tcBorders>
            <w:shd w:fill="FDF3DC" w:val="clear"/>
            <w:tcMar>
              <w:top w:type="dxa" w:w="80"/>
              <w:left w:type="dxa" w:w="120"/>
              <w:bottom w:type="dxa" w:w="80"/>
              <w:right w:type="dxa" w:w="80"/>
            </w:tcMar>
          </w:tcPr>
          <w:p>
            <w:pPr>
              <w:spacing w:after="40" w:before="40"/>
            </w:pPr>
            <w:r>
              <w:rPr>
                <w:rFonts w:ascii="Calibri" w:cs="Calibri" w:eastAsia="Calibri" w:hAnsi="Calibri"/>
                <w:b/>
                <w:bCs/>
                <w:color w:val="7A5000"/>
                <w:sz w:val="18"/>
                <w:szCs w:val="18"/>
              </w:rPr>
              <w:t xml:space="preserve">PARTIAL</w:t>
            </w:r>
          </w:p>
          <w:p>
            <w:pPr>
              <w:spacing w:after="40" w:before="40"/>
            </w:pPr>
            <w:r>
              <w:rPr>
                <w:rFonts w:ascii="Calibri" w:cs="Calibri" w:eastAsia="Calibri" w:hAnsi="Calibri"/>
                <w:i/>
                <w:iCs/>
                <w:color w:val="555555"/>
                <w:sz w:val="15"/>
                <w:szCs w:val="15"/>
              </w:rPr>
              <w:t xml:space="preserve">Not all VMs confirmed as protected — need full endpoint protection status report</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8.9</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Configuration Management</w:t>
            </w:r>
          </w:p>
          <w:p>
            <w:pPr>
              <w:spacing w:after="40" w:before="40"/>
            </w:pPr>
            <w:r>
              <w:rPr>
                <w:rFonts w:ascii="Calibri" w:cs="Calibri" w:eastAsia="Calibri" w:hAnsi="Calibri"/>
                <w:i/>
                <w:iCs/>
                <w:color w:val="555555"/>
                <w:sz w:val="15"/>
                <w:szCs w:val="15"/>
              </w:rPr>
              <w:t xml:space="preserve">CLI: az policy state list --query "[?complianceState=='NonComplia…</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Azure Policy / Automanage</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Azure Policy assignments showing baseline configuration enforcement. Compliance state per subscription. Guest configuration policy results for VMs.</w:t>
            </w:r>
          </w:p>
          <w:p>
            <w:pPr>
              <w:spacing w:after="0" w:before="40"/>
            </w:pPr>
            <w:r>
              <w:t xml:space="preserve"/>
            </w:r>
          </w:p>
          <w:p>
            <w:pPr>
              <w:spacing w:after="40" w:before="40"/>
            </w:pPr>
            <w:r>
              <w:rPr>
                <w:rFonts w:ascii="Calibri" w:cs="Calibri" w:eastAsia="Calibri" w:hAnsi="Calibri"/>
                <w:i/>
                <w:iCs/>
                <w:color w:val="555555"/>
                <w:sz w:val="16"/>
                <w:szCs w:val="16"/>
              </w:rPr>
              <w:t xml:space="preserve">→ Azure Policy → Compliance → export compliance report. Filter by non-compliant resources. Azure Automanage → Machines if used.</w:t>
            </w:r>
          </w:p>
        </w:tc>
        <w:tc>
          <w:tcPr>
            <w:tcW w:type="dxa" w:w="1700"/>
            <w:tcBorders>
              <w:top w:val="single" w:color="BBBBBB" w:sz="4"/>
              <w:left w:val="single" w:color="BBBBBB" w:sz="4"/>
              <w:bottom w:val="single" w:color="BBBBBB" w:sz="4"/>
              <w:right w:val="single" w:color="BBBBBB" w:sz="4"/>
            </w:tcBorders>
            <w:shd w:fill="FAEAEA" w:val="clear"/>
            <w:tcMar>
              <w:top w:type="dxa" w:w="80"/>
              <w:left w:type="dxa" w:w="120"/>
              <w:bottom w:type="dxa" w:w="80"/>
              <w:right w:type="dxa" w:w="80"/>
            </w:tcMar>
          </w:tcPr>
          <w:p>
            <w:pPr>
              <w:spacing w:after="40" w:before="40"/>
            </w:pPr>
            <w:r>
              <w:rPr>
                <w:rFonts w:ascii="Calibri" w:cs="Calibri" w:eastAsia="Calibri" w:hAnsi="Calibri"/>
                <w:b/>
                <w:bCs/>
                <w:color w:val="8B1A1A"/>
                <w:sz w:val="18"/>
                <w:szCs w:val="18"/>
              </w:rPr>
              <w:t xml:space="preserve">NO</w:t>
            </w:r>
          </w:p>
          <w:p>
            <w:pPr>
              <w:spacing w:after="40" w:before="40"/>
            </w:pPr>
            <w:r>
              <w:rPr>
                <w:rFonts w:ascii="Calibri" w:cs="Calibri" w:eastAsia="Calibri" w:hAnsi="Calibri"/>
                <w:i/>
                <w:iCs/>
                <w:color w:val="555555"/>
                <w:sz w:val="15"/>
                <w:szCs w:val="15"/>
              </w:rPr>
              <w:t xml:space="preserve">No configuration baseline policy formally assigned and documented for audit</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8.10</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Information Deletion</w:t>
            </w:r>
          </w:p>
          <w:p>
            <w:pPr>
              <w:spacing w:after="40" w:before="40"/>
            </w:pPr>
            <w:r>
              <w:rPr>
                <w:rFonts w:ascii="Calibri" w:cs="Calibri" w:eastAsia="Calibri" w:hAnsi="Calibri"/>
                <w:i/>
                <w:iCs/>
                <w:color w:val="555555"/>
                <w:sz w:val="15"/>
                <w:szCs w:val="15"/>
              </w:rPr>
              <w:t xml:space="preserve">CLI: az storage account list --query "[].{name:name, kind:kind}" …</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Azure Storage / Key Vault / Purge Policy</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Data retention and deletion policy. Evidence of soft-delete and purge protection enabled on storage and Key Vault. Any data deletion records or lifecycle policy config.</w:t>
            </w:r>
          </w:p>
          <w:p>
            <w:pPr>
              <w:spacing w:after="0" w:before="40"/>
            </w:pPr>
            <w:r>
              <w:t xml:space="preserve"/>
            </w:r>
          </w:p>
          <w:p>
            <w:pPr>
              <w:spacing w:after="40" w:before="40"/>
            </w:pPr>
            <w:r>
              <w:rPr>
                <w:rFonts w:ascii="Calibri" w:cs="Calibri" w:eastAsia="Calibri" w:hAnsi="Calibri"/>
                <w:i/>
                <w:iCs/>
                <w:color w:val="555555"/>
                <w:sz w:val="16"/>
                <w:szCs w:val="16"/>
              </w:rPr>
              <w:t xml:space="preserve">→ Storage account → Data management → Lifecycle management. Key Vault → Properties → show soft-delete and purge protection status. Screenshot both.</w:t>
            </w:r>
          </w:p>
        </w:tc>
        <w:tc>
          <w:tcPr>
            <w:tcW w:type="dxa" w:w="1700"/>
            <w:tcBorders>
              <w:top w:val="single" w:color="BBBBBB" w:sz="4"/>
              <w:left w:val="single" w:color="BBBBBB" w:sz="4"/>
              <w:bottom w:val="single" w:color="BBBBBB" w:sz="4"/>
              <w:right w:val="single" w:color="BBBBBB" w:sz="4"/>
            </w:tcBorders>
            <w:shd w:fill="FAEAEA" w:val="clear"/>
            <w:tcMar>
              <w:top w:type="dxa" w:w="80"/>
              <w:left w:type="dxa" w:w="120"/>
              <w:bottom w:type="dxa" w:w="80"/>
              <w:right w:type="dxa" w:w="80"/>
            </w:tcMar>
          </w:tcPr>
          <w:p>
            <w:pPr>
              <w:spacing w:after="40" w:before="40"/>
            </w:pPr>
            <w:r>
              <w:rPr>
                <w:rFonts w:ascii="Calibri" w:cs="Calibri" w:eastAsia="Calibri" w:hAnsi="Calibri"/>
                <w:b/>
                <w:bCs/>
                <w:color w:val="8B1A1A"/>
                <w:sz w:val="18"/>
                <w:szCs w:val="18"/>
              </w:rPr>
              <w:t xml:space="preserve">NO</w:t>
            </w:r>
          </w:p>
          <w:p>
            <w:pPr>
              <w:spacing w:after="40" w:before="40"/>
            </w:pPr>
            <w:r>
              <w:rPr>
                <w:rFonts w:ascii="Calibri" w:cs="Calibri" w:eastAsia="Calibri" w:hAnsi="Calibri"/>
                <w:i/>
                <w:iCs/>
                <w:color w:val="555555"/>
                <w:sz w:val="15"/>
                <w:szCs w:val="15"/>
              </w:rPr>
              <w:t xml:space="preserve">No evidence of lifecycle policies or purge protection configuration on file</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8.13</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Cloud Backup Control</w:t>
            </w:r>
          </w:p>
          <w:p>
            <w:pPr>
              <w:spacing w:after="40" w:before="40"/>
            </w:pPr>
            <w:r>
              <w:rPr>
                <w:rFonts w:ascii="Calibri" w:cs="Calibri" w:eastAsia="Calibri" w:hAnsi="Calibri"/>
                <w:i/>
                <w:iCs/>
                <w:color w:val="555555"/>
                <w:sz w:val="15"/>
                <w:szCs w:val="15"/>
              </w:rPr>
              <w:t xml:space="preserve">CLI: az backup job list --resource-group &lt;rg&gt; --vault-name &lt;vault…</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Azure Backup</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Azure Backup policy configuration showing backup frequency and retention. Backup job history for the review period. Evidence of at least one successful restore test.</w:t>
            </w:r>
          </w:p>
          <w:p>
            <w:pPr>
              <w:spacing w:after="0" w:before="40"/>
            </w:pPr>
            <w:r>
              <w:t xml:space="preserve"/>
            </w:r>
          </w:p>
          <w:p>
            <w:pPr>
              <w:spacing w:after="40" w:before="40"/>
            </w:pPr>
            <w:r>
              <w:rPr>
                <w:rFonts w:ascii="Calibri" w:cs="Calibri" w:eastAsia="Calibri" w:hAnsi="Calibri"/>
                <w:i/>
                <w:iCs/>
                <w:color w:val="555555"/>
                <w:sz w:val="16"/>
                <w:szCs w:val="16"/>
              </w:rPr>
              <w:t xml:space="preserve">→ Recovery Services vault → Backup jobs → filter by date range → export. Backup policies → screenshot each policy. Restore job history if tested.</w:t>
            </w:r>
          </w:p>
        </w:tc>
        <w:tc>
          <w:tcPr>
            <w:tcW w:type="dxa" w:w="1700"/>
            <w:tcBorders>
              <w:top w:val="single" w:color="BBBBBB" w:sz="4"/>
              <w:left w:val="single" w:color="BBBBBB" w:sz="4"/>
              <w:bottom w:val="single" w:color="BBBBBB" w:sz="4"/>
              <w:right w:val="single" w:color="BBBBBB" w:sz="4"/>
            </w:tcBorders>
            <w:shd w:fill="FDF3DC" w:val="clear"/>
            <w:tcMar>
              <w:top w:type="dxa" w:w="80"/>
              <w:left w:type="dxa" w:w="120"/>
              <w:bottom w:type="dxa" w:w="80"/>
              <w:right w:type="dxa" w:w="80"/>
            </w:tcMar>
          </w:tcPr>
          <w:p>
            <w:pPr>
              <w:spacing w:after="40" w:before="40"/>
            </w:pPr>
            <w:r>
              <w:rPr>
                <w:rFonts w:ascii="Calibri" w:cs="Calibri" w:eastAsia="Calibri" w:hAnsi="Calibri"/>
                <w:b/>
                <w:bCs/>
                <w:color w:val="7A5000"/>
                <w:sz w:val="18"/>
                <w:szCs w:val="18"/>
              </w:rPr>
              <w:t xml:space="preserve">PARTIAL</w:t>
            </w:r>
          </w:p>
          <w:p>
            <w:pPr>
              <w:spacing w:after="40" w:before="40"/>
            </w:pPr>
            <w:r>
              <w:rPr>
                <w:rFonts w:ascii="Calibri" w:cs="Calibri" w:eastAsia="Calibri" w:hAnsi="Calibri"/>
                <w:i/>
                <w:iCs/>
                <w:color w:val="555555"/>
                <w:sz w:val="15"/>
                <w:szCs w:val="15"/>
              </w:rPr>
              <w:t xml:space="preserve">Backup jobs run but history not exported. No restore test record on file — flag for auditor</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8.14</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Redundancy of Information Processing Facilities</w:t>
            </w:r>
          </w:p>
          <w:p>
            <w:pPr>
              <w:spacing w:after="40" w:before="40"/>
            </w:pPr>
            <w:r>
              <w:rPr>
                <w:rFonts w:ascii="Calibri" w:cs="Calibri" w:eastAsia="Calibri" w:hAnsi="Calibri"/>
                <w:i/>
                <w:iCs/>
                <w:color w:val="555555"/>
                <w:sz w:val="15"/>
                <w:szCs w:val="15"/>
              </w:rPr>
              <w:t xml:space="preserve">CLI: az site-recovery replication-protected-item list --output ta…</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Azure Site Recovery / Availability Zones</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ASR replication health dashboard. Availability Zone or region pair configuration for critical workloads. Documented RTO and RPO. Evidence of failover test.</w:t>
            </w:r>
          </w:p>
          <w:p>
            <w:pPr>
              <w:spacing w:after="0" w:before="40"/>
            </w:pPr>
            <w:r>
              <w:t xml:space="preserve"/>
            </w:r>
          </w:p>
          <w:p>
            <w:pPr>
              <w:spacing w:after="40" w:before="40"/>
            </w:pPr>
            <w:r>
              <w:rPr>
                <w:rFonts w:ascii="Calibri" w:cs="Calibri" w:eastAsia="Calibri" w:hAnsi="Calibri"/>
                <w:i/>
                <w:iCs/>
                <w:color w:val="555555"/>
                <w:sz w:val="16"/>
                <w:szCs w:val="16"/>
              </w:rPr>
              <w:t xml:space="preserve">→ Recovery Services vault → Site Recovery → Replicated items → replication health. Azure Portal → resource overview showing zone/region redundancy.</w:t>
            </w:r>
          </w:p>
        </w:tc>
        <w:tc>
          <w:tcPr>
            <w:tcW w:type="dxa" w:w="1700"/>
            <w:tcBorders>
              <w:top w:val="single" w:color="BBBBBB" w:sz="4"/>
              <w:left w:val="single" w:color="BBBBBB" w:sz="4"/>
              <w:bottom w:val="single" w:color="BBBBBB" w:sz="4"/>
              <w:right w:val="single" w:color="BBBBBB" w:sz="4"/>
            </w:tcBorders>
            <w:shd w:fill="FAEAEA" w:val="clear"/>
            <w:tcMar>
              <w:top w:type="dxa" w:w="80"/>
              <w:left w:type="dxa" w:w="120"/>
              <w:bottom w:type="dxa" w:w="80"/>
              <w:right w:type="dxa" w:w="80"/>
            </w:tcMar>
          </w:tcPr>
          <w:p>
            <w:pPr>
              <w:spacing w:after="40" w:before="40"/>
            </w:pPr>
            <w:r>
              <w:rPr>
                <w:rFonts w:ascii="Calibri" w:cs="Calibri" w:eastAsia="Calibri" w:hAnsi="Calibri"/>
                <w:b/>
                <w:bCs/>
                <w:color w:val="8B1A1A"/>
                <w:sz w:val="18"/>
                <w:szCs w:val="18"/>
              </w:rPr>
              <w:t xml:space="preserve">NO</w:t>
            </w:r>
          </w:p>
          <w:p>
            <w:pPr>
              <w:spacing w:after="40" w:before="40"/>
            </w:pPr>
            <w:r>
              <w:rPr>
                <w:rFonts w:ascii="Calibri" w:cs="Calibri" w:eastAsia="Calibri" w:hAnsi="Calibri"/>
                <w:i/>
                <w:iCs/>
                <w:color w:val="555555"/>
                <w:sz w:val="15"/>
                <w:szCs w:val="15"/>
              </w:rPr>
              <w:t xml:space="preserve">No ASR health export or failover test record. RTO/RPO not formally documented</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8.15</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Logging Control Cloud</w:t>
            </w:r>
          </w:p>
          <w:p>
            <w:pPr>
              <w:spacing w:after="40" w:before="40"/>
            </w:pPr>
            <w:r>
              <w:rPr>
                <w:rFonts w:ascii="Calibri" w:cs="Calibri" w:eastAsia="Calibri" w:hAnsi="Calibri"/>
                <w:i/>
                <w:iCs/>
                <w:color w:val="555555"/>
                <w:sz w:val="15"/>
                <w:szCs w:val="15"/>
              </w:rPr>
              <w:t xml:space="preserve">CLI: az monitor diagnostic-settings list --resource &lt;resource-id&gt;</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Azure Monitor / Log Analytics</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Diagnostic settings enabled on all in-scope resources. Log Analytics workspace retention configuration (minimum 90 days). Activity log alerts configured.</w:t>
            </w:r>
          </w:p>
          <w:p>
            <w:pPr>
              <w:spacing w:after="0" w:before="40"/>
            </w:pPr>
            <w:r>
              <w:t xml:space="preserve"/>
            </w:r>
          </w:p>
          <w:p>
            <w:pPr>
              <w:spacing w:after="40" w:before="40"/>
            </w:pPr>
            <w:r>
              <w:rPr>
                <w:rFonts w:ascii="Calibri" w:cs="Calibri" w:eastAsia="Calibri" w:hAnsi="Calibri"/>
                <w:i/>
                <w:iCs/>
                <w:color w:val="555555"/>
                <w:sz w:val="16"/>
                <w:szCs w:val="16"/>
              </w:rPr>
              <w:t xml:space="preserve">→ Azure Policy → Compliance → search 'diagnostic settings'. Log Analytics workspace → Usage and estimated costs → Data retention. Azure Monitor → Alerts → list.</w:t>
            </w:r>
          </w:p>
        </w:tc>
        <w:tc>
          <w:tcPr>
            <w:tcW w:type="dxa" w:w="1700"/>
            <w:tcBorders>
              <w:top w:val="single" w:color="BBBBBB" w:sz="4"/>
              <w:left w:val="single" w:color="BBBBBB" w:sz="4"/>
              <w:bottom w:val="single" w:color="BBBBBB" w:sz="4"/>
              <w:right w:val="single" w:color="BBBBBB" w:sz="4"/>
            </w:tcBorders>
            <w:shd w:fill="FDF3DC" w:val="clear"/>
            <w:tcMar>
              <w:top w:type="dxa" w:w="80"/>
              <w:left w:type="dxa" w:w="120"/>
              <w:bottom w:type="dxa" w:w="80"/>
              <w:right w:type="dxa" w:w="80"/>
            </w:tcMar>
          </w:tcPr>
          <w:p>
            <w:pPr>
              <w:spacing w:after="40" w:before="40"/>
            </w:pPr>
            <w:r>
              <w:rPr>
                <w:rFonts w:ascii="Calibri" w:cs="Calibri" w:eastAsia="Calibri" w:hAnsi="Calibri"/>
                <w:b/>
                <w:bCs/>
                <w:color w:val="7A5000"/>
                <w:sz w:val="18"/>
                <w:szCs w:val="18"/>
              </w:rPr>
              <w:t xml:space="preserve">PARTIAL</w:t>
            </w:r>
          </w:p>
          <w:p>
            <w:pPr>
              <w:spacing w:after="40" w:before="40"/>
            </w:pPr>
            <w:r>
              <w:rPr>
                <w:rFonts w:ascii="Calibri" w:cs="Calibri" w:eastAsia="Calibri" w:hAnsi="Calibri"/>
                <w:i/>
                <w:iCs/>
                <w:color w:val="555555"/>
                <w:sz w:val="15"/>
                <w:szCs w:val="15"/>
              </w:rPr>
              <w:t xml:space="preserve">Some resources missing diagnostic settings — Azure Policy compliance check needed</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8.16</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Monitoring Activities</w:t>
            </w:r>
          </w:p>
          <w:p>
            <w:pPr>
              <w:spacing w:after="40" w:before="40"/>
            </w:pPr>
            <w:r>
              <w:rPr>
                <w:rFonts w:ascii="Calibri" w:cs="Calibri" w:eastAsia="Calibri" w:hAnsi="Calibri"/>
                <w:i/>
                <w:iCs/>
                <w:color w:val="555555"/>
                <w:sz w:val="15"/>
                <w:szCs w:val="15"/>
              </w:rPr>
              <w:t xml:space="preserve"/>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Microsoft Sentinel / Azure Monitor</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Sentinel analytics rules list showing active detection rules. Incident log for the review period. Alert suppression rules. Evidence of SOC review of alerts.</w:t>
            </w:r>
          </w:p>
          <w:p>
            <w:pPr>
              <w:spacing w:after="0" w:before="40"/>
            </w:pPr>
            <w:r>
              <w:t xml:space="preserve"/>
            </w:r>
          </w:p>
          <w:p>
            <w:pPr>
              <w:spacing w:after="40" w:before="40"/>
            </w:pPr>
            <w:r>
              <w:rPr>
                <w:rFonts w:ascii="Calibri" w:cs="Calibri" w:eastAsia="Calibri" w:hAnsi="Calibri"/>
                <w:i/>
                <w:iCs/>
                <w:color w:val="555555"/>
                <w:sz w:val="16"/>
                <w:szCs w:val="16"/>
              </w:rPr>
              <w:t xml:space="preserve">→ Microsoft Sentinel → Analytics → Active rules → export list. Sentinel → Incidents → filter by date → export. Workbooks showing alert trends.</w:t>
            </w:r>
          </w:p>
        </w:tc>
        <w:tc>
          <w:tcPr>
            <w:tcW w:type="dxa" w:w="1700"/>
            <w:tcBorders>
              <w:top w:val="single" w:color="BBBBBB" w:sz="4"/>
              <w:left w:val="single" w:color="BBBBBB" w:sz="4"/>
              <w:bottom w:val="single" w:color="BBBBBB" w:sz="4"/>
              <w:right w:val="single" w:color="BBBBBB" w:sz="4"/>
            </w:tcBorders>
            <w:shd w:fill="FDF3DC" w:val="clear"/>
            <w:tcMar>
              <w:top w:type="dxa" w:w="80"/>
              <w:left w:type="dxa" w:w="120"/>
              <w:bottom w:type="dxa" w:w="80"/>
              <w:right w:type="dxa" w:w="80"/>
            </w:tcMar>
          </w:tcPr>
          <w:p>
            <w:pPr>
              <w:spacing w:after="40" w:before="40"/>
            </w:pPr>
            <w:r>
              <w:rPr>
                <w:rFonts w:ascii="Calibri" w:cs="Calibri" w:eastAsia="Calibri" w:hAnsi="Calibri"/>
                <w:b/>
                <w:bCs/>
                <w:color w:val="7A5000"/>
                <w:sz w:val="18"/>
                <w:szCs w:val="18"/>
              </w:rPr>
              <w:t xml:space="preserve">PARTIAL</w:t>
            </w:r>
          </w:p>
          <w:p>
            <w:pPr>
              <w:spacing w:after="40" w:before="40"/>
            </w:pPr>
            <w:r>
              <w:rPr>
                <w:rFonts w:ascii="Calibri" w:cs="Calibri" w:eastAsia="Calibri" w:hAnsi="Calibri"/>
                <w:i/>
                <w:iCs/>
                <w:color w:val="555555"/>
                <w:sz w:val="15"/>
                <w:szCs w:val="15"/>
              </w:rPr>
              <w:t xml:space="preserve">Sentinel active but incident export not prepared. Analytics rule list not documented</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8.17</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Cloud Clock Synchronisation</w:t>
            </w:r>
          </w:p>
          <w:p>
            <w:pPr>
              <w:spacing w:after="40" w:before="40"/>
            </w:pPr>
            <w:r>
              <w:rPr>
                <w:rFonts w:ascii="Calibri" w:cs="Calibri" w:eastAsia="Calibri" w:hAnsi="Calibri"/>
                <w:i/>
                <w:iCs/>
                <w:color w:val="555555"/>
                <w:sz w:val="15"/>
                <w:szCs w:val="15"/>
              </w:rPr>
              <w:t xml:space="preserve">CLI: az vm run-command invoke --command-id RunPowerShellScript --…</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Azure VMs / NTP</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Evidence that all in-scope VMs sync time from Azure host or approved NTP source. VM extension configuration or Azure time sync documentation.</w:t>
            </w:r>
          </w:p>
          <w:p>
            <w:pPr>
              <w:spacing w:after="0" w:before="40"/>
            </w:pPr>
            <w:r>
              <w:t xml:space="preserve"/>
            </w:r>
          </w:p>
          <w:p>
            <w:pPr>
              <w:spacing w:after="40" w:before="40"/>
            </w:pPr>
            <w:r>
              <w:rPr>
                <w:rFonts w:ascii="Calibri" w:cs="Calibri" w:eastAsia="Calibri" w:hAnsi="Calibri"/>
                <w:i/>
                <w:iCs/>
                <w:color w:val="555555"/>
                <w:sz w:val="16"/>
                <w:szCs w:val="16"/>
              </w:rPr>
              <w:t xml:space="preserve">→ For Windows VMs: check W32tm config via run command. For Linux: chronyc tracking. Azure host-based time sync is default — screenshot VM agent status as evidence.</w:t>
            </w:r>
          </w:p>
        </w:tc>
        <w:tc>
          <w:tcPr>
            <w:tcW w:type="dxa" w:w="1700"/>
            <w:tcBorders>
              <w:top w:val="single" w:color="BBBBBB" w:sz="4"/>
              <w:left w:val="single" w:color="BBBBBB" w:sz="4"/>
              <w:bottom w:val="single" w:color="BBBBBB" w:sz="4"/>
              <w:right w:val="single" w:color="BBBBBB" w:sz="4"/>
            </w:tcBorders>
            <w:shd w:fill="FAEAEA" w:val="clear"/>
            <w:tcMar>
              <w:top w:type="dxa" w:w="80"/>
              <w:left w:type="dxa" w:w="120"/>
              <w:bottom w:type="dxa" w:w="80"/>
              <w:right w:type="dxa" w:w="80"/>
            </w:tcMar>
          </w:tcPr>
          <w:p>
            <w:pPr>
              <w:spacing w:after="40" w:before="40"/>
            </w:pPr>
            <w:r>
              <w:rPr>
                <w:rFonts w:ascii="Calibri" w:cs="Calibri" w:eastAsia="Calibri" w:hAnsi="Calibri"/>
                <w:b/>
                <w:bCs/>
                <w:color w:val="8B1A1A"/>
                <w:sz w:val="18"/>
                <w:szCs w:val="18"/>
              </w:rPr>
              <w:t xml:space="preserve">NO</w:t>
            </w:r>
          </w:p>
          <w:p>
            <w:pPr>
              <w:spacing w:after="40" w:before="40"/>
            </w:pPr>
            <w:r>
              <w:rPr>
                <w:rFonts w:ascii="Calibri" w:cs="Calibri" w:eastAsia="Calibri" w:hAnsi="Calibri"/>
                <w:i/>
                <w:iCs/>
                <w:color w:val="555555"/>
                <w:sz w:val="15"/>
                <w:szCs w:val="15"/>
              </w:rPr>
              <w:t xml:space="preserve">No documented evidence of time sync configuration — lowest risk gap but still required</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8.19</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Software Installation Cloud</w:t>
            </w:r>
          </w:p>
          <w:p>
            <w:pPr>
              <w:spacing w:after="40" w:before="40"/>
            </w:pPr>
            <w:r>
              <w:rPr>
                <w:rFonts w:ascii="Calibri" w:cs="Calibri" w:eastAsia="Calibri" w:hAnsi="Calibri"/>
                <w:i/>
                <w:iCs/>
                <w:color w:val="555555"/>
                <w:sz w:val="15"/>
                <w:szCs w:val="15"/>
              </w:rPr>
              <w:t xml:space="preserve">CLI: az security adaptive-application-controls list</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Azure Policy / Defender for Cloud</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Policy or process preventing unauthorised software installation on IaaS VMs. Defender for Cloud adaptive application controls if enabled. Change management records for software installs.</w:t>
            </w:r>
          </w:p>
          <w:p>
            <w:pPr>
              <w:spacing w:after="0" w:before="40"/>
            </w:pPr>
            <w:r>
              <w:t xml:space="preserve"/>
            </w:r>
          </w:p>
          <w:p>
            <w:pPr>
              <w:spacing w:after="40" w:before="40"/>
            </w:pPr>
            <w:r>
              <w:rPr>
                <w:rFonts w:ascii="Calibri" w:cs="Calibri" w:eastAsia="Calibri" w:hAnsi="Calibri"/>
                <w:i/>
                <w:iCs/>
                <w:color w:val="555555"/>
                <w:sz w:val="16"/>
                <w:szCs w:val="16"/>
              </w:rPr>
              <w:t xml:space="preserve">→ Defender for Cloud → Workload protections → Adaptive application controls. Azure Policy → assignments for allowed VM extensions or software.</w:t>
            </w:r>
          </w:p>
        </w:tc>
        <w:tc>
          <w:tcPr>
            <w:tcW w:type="dxa" w:w="1700"/>
            <w:tcBorders>
              <w:top w:val="single" w:color="BBBBBB" w:sz="4"/>
              <w:left w:val="single" w:color="BBBBBB" w:sz="4"/>
              <w:bottom w:val="single" w:color="BBBBBB" w:sz="4"/>
              <w:right w:val="single" w:color="BBBBBB" w:sz="4"/>
            </w:tcBorders>
            <w:shd w:fill="FAEAEA" w:val="clear"/>
            <w:tcMar>
              <w:top w:type="dxa" w:w="80"/>
              <w:left w:type="dxa" w:w="120"/>
              <w:bottom w:type="dxa" w:w="80"/>
              <w:right w:type="dxa" w:w="80"/>
            </w:tcMar>
          </w:tcPr>
          <w:p>
            <w:pPr>
              <w:spacing w:after="40" w:before="40"/>
            </w:pPr>
            <w:r>
              <w:rPr>
                <w:rFonts w:ascii="Calibri" w:cs="Calibri" w:eastAsia="Calibri" w:hAnsi="Calibri"/>
                <w:b/>
                <w:bCs/>
                <w:color w:val="8B1A1A"/>
                <w:sz w:val="18"/>
                <w:szCs w:val="18"/>
              </w:rPr>
              <w:t xml:space="preserve">NO</w:t>
            </w:r>
          </w:p>
          <w:p>
            <w:pPr>
              <w:spacing w:after="40" w:before="40"/>
            </w:pPr>
            <w:r>
              <w:rPr>
                <w:rFonts w:ascii="Calibri" w:cs="Calibri" w:eastAsia="Calibri" w:hAnsi="Calibri"/>
                <w:i/>
                <w:iCs/>
                <w:color w:val="555555"/>
                <w:sz w:val="15"/>
                <w:szCs w:val="15"/>
              </w:rPr>
              <w:t xml:space="preserve">No formal software installation control evidence — document the process used</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8.20</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Cloud Network Controls</w:t>
            </w:r>
          </w:p>
          <w:p>
            <w:pPr>
              <w:spacing w:after="40" w:before="40"/>
            </w:pPr>
            <w:r>
              <w:rPr>
                <w:rFonts w:ascii="Calibri" w:cs="Calibri" w:eastAsia="Calibri" w:hAnsi="Calibri"/>
                <w:i/>
                <w:iCs/>
                <w:color w:val="555555"/>
                <w:sz w:val="15"/>
                <w:szCs w:val="15"/>
              </w:rPr>
              <w:t xml:space="preserve">CLI: az network nsg list --output table &amp;&amp; az network nsg show -n…</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Azure Firewall / NSG</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NSG rule export for all in-scope subnets. Azure Firewall policy export if used. Network topology diagram. Evidence of NSG flow logs enabled.</w:t>
            </w:r>
          </w:p>
          <w:p>
            <w:pPr>
              <w:spacing w:after="0" w:before="40"/>
            </w:pPr>
            <w:r>
              <w:t xml:space="preserve"/>
            </w:r>
          </w:p>
          <w:p>
            <w:pPr>
              <w:spacing w:after="40" w:before="40"/>
            </w:pPr>
            <w:r>
              <w:rPr>
                <w:rFonts w:ascii="Calibri" w:cs="Calibri" w:eastAsia="Calibri" w:hAnsi="Calibri"/>
                <w:i/>
                <w:iCs/>
                <w:color w:val="555555"/>
                <w:sz w:val="16"/>
                <w:szCs w:val="16"/>
              </w:rPr>
              <w:t xml:space="preserve">→ Azure Portal → NSG → Export template (captures all rules). Azure Firewall → Export policy. Network Watcher → NSG flow logs → status per NSG.</w:t>
            </w:r>
          </w:p>
        </w:tc>
        <w:tc>
          <w:tcPr>
            <w:tcW w:type="dxa" w:w="1700"/>
            <w:tcBorders>
              <w:top w:val="single" w:color="BBBBBB" w:sz="4"/>
              <w:left w:val="single" w:color="BBBBBB" w:sz="4"/>
              <w:bottom w:val="single" w:color="BBBBBB" w:sz="4"/>
              <w:right w:val="single" w:color="BBBBBB" w:sz="4"/>
            </w:tcBorders>
            <w:shd w:fill="FDF3DC" w:val="clear"/>
            <w:tcMar>
              <w:top w:type="dxa" w:w="80"/>
              <w:left w:type="dxa" w:w="120"/>
              <w:bottom w:type="dxa" w:w="80"/>
              <w:right w:type="dxa" w:w="80"/>
            </w:tcMar>
          </w:tcPr>
          <w:p>
            <w:pPr>
              <w:spacing w:after="40" w:before="40"/>
            </w:pPr>
            <w:r>
              <w:rPr>
                <w:rFonts w:ascii="Calibri" w:cs="Calibri" w:eastAsia="Calibri" w:hAnsi="Calibri"/>
                <w:b/>
                <w:bCs/>
                <w:color w:val="7A5000"/>
                <w:sz w:val="18"/>
                <w:szCs w:val="18"/>
              </w:rPr>
              <w:t xml:space="preserve">PARTIAL</w:t>
            </w:r>
          </w:p>
          <w:p>
            <w:pPr>
              <w:spacing w:after="40" w:before="40"/>
            </w:pPr>
            <w:r>
              <w:rPr>
                <w:rFonts w:ascii="Calibri" w:cs="Calibri" w:eastAsia="Calibri" w:hAnsi="Calibri"/>
                <w:i/>
                <w:iCs/>
                <w:color w:val="555555"/>
                <w:sz w:val="15"/>
                <w:szCs w:val="15"/>
              </w:rPr>
              <w:t xml:space="preserve">NSGs exist but rule exports and flow log status not documented for all subnets</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8.21</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Security of Network Services</w:t>
            </w:r>
          </w:p>
          <w:p>
            <w:pPr>
              <w:spacing w:after="40" w:before="40"/>
            </w:pPr>
            <w:r>
              <w:rPr>
                <w:rFonts w:ascii="Calibri" w:cs="Calibri" w:eastAsia="Calibri" w:hAnsi="Calibri"/>
                <w:i/>
                <w:iCs/>
                <w:color w:val="555555"/>
                <w:sz w:val="15"/>
                <w:szCs w:val="15"/>
              </w:rPr>
              <w:t xml:space="preserve">CLI: az network ddos-protection list &amp;&amp; az network firewall list …</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Azure Firewall / DDoS / Front Door</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DDoS protection plan assignment. Azure Firewall threat intelligence settings. Network security group association to all subnets. Web Application Firewall config if applicable.</w:t>
            </w:r>
          </w:p>
          <w:p>
            <w:pPr>
              <w:spacing w:after="0" w:before="40"/>
            </w:pPr>
            <w:r>
              <w:t xml:space="preserve"/>
            </w:r>
          </w:p>
          <w:p>
            <w:pPr>
              <w:spacing w:after="40" w:before="40"/>
            </w:pPr>
            <w:r>
              <w:rPr>
                <w:rFonts w:ascii="Calibri" w:cs="Calibri" w:eastAsia="Calibri" w:hAnsi="Calibri"/>
                <w:i/>
                <w:iCs/>
                <w:color w:val="555555"/>
                <w:sz w:val="16"/>
                <w:szCs w:val="16"/>
              </w:rPr>
              <w:t xml:space="preserve">→ Azure DDoS Protection → Protected resources. Azure Firewall → Threat intelligence → screenshot. WAF policy if Front Door or App Gateway in use.</w:t>
            </w:r>
          </w:p>
        </w:tc>
        <w:tc>
          <w:tcPr>
            <w:tcW w:type="dxa" w:w="1700"/>
            <w:tcBorders>
              <w:top w:val="single" w:color="BBBBBB" w:sz="4"/>
              <w:left w:val="single" w:color="BBBBBB" w:sz="4"/>
              <w:bottom w:val="single" w:color="BBBBBB" w:sz="4"/>
              <w:right w:val="single" w:color="BBBBBB" w:sz="4"/>
            </w:tcBorders>
            <w:shd w:fill="FAEAEA" w:val="clear"/>
            <w:tcMar>
              <w:top w:type="dxa" w:w="80"/>
              <w:left w:type="dxa" w:w="120"/>
              <w:bottom w:type="dxa" w:w="80"/>
              <w:right w:type="dxa" w:w="80"/>
            </w:tcMar>
          </w:tcPr>
          <w:p>
            <w:pPr>
              <w:spacing w:after="40" w:before="40"/>
            </w:pPr>
            <w:r>
              <w:rPr>
                <w:rFonts w:ascii="Calibri" w:cs="Calibri" w:eastAsia="Calibri" w:hAnsi="Calibri"/>
                <w:b/>
                <w:bCs/>
                <w:color w:val="8B1A1A"/>
                <w:sz w:val="18"/>
                <w:szCs w:val="18"/>
              </w:rPr>
              <w:t xml:space="preserve">NO</w:t>
            </w:r>
          </w:p>
          <w:p>
            <w:pPr>
              <w:spacing w:after="40" w:before="40"/>
            </w:pPr>
            <w:r>
              <w:rPr>
                <w:rFonts w:ascii="Calibri" w:cs="Calibri" w:eastAsia="Calibri" w:hAnsi="Calibri"/>
                <w:i/>
                <w:iCs/>
                <w:color w:val="555555"/>
                <w:sz w:val="15"/>
                <w:szCs w:val="15"/>
              </w:rPr>
              <w:t xml:space="preserve">DDoS and network services protection status not evidenced</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8.22</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Cloud Network Segregation</w:t>
            </w:r>
          </w:p>
          <w:p>
            <w:pPr>
              <w:spacing w:after="40" w:before="40"/>
            </w:pPr>
            <w:r>
              <w:rPr>
                <w:rFonts w:ascii="Calibri" w:cs="Calibri" w:eastAsia="Calibri" w:hAnsi="Calibri"/>
                <w:i/>
                <w:iCs/>
                <w:color w:val="555555"/>
                <w:sz w:val="15"/>
                <w:szCs w:val="15"/>
              </w:rPr>
              <w:t xml:space="preserve">CLI: az network vnet list --output table &amp;&amp; az network private-en…</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VNet / Subnets / Private Endpoints</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VNet and subnet layout showing segregation of production, dev, and management networks. Private endpoint configuration for PaaS services. No public endpoints on data services.</w:t>
            </w:r>
          </w:p>
          <w:p>
            <w:pPr>
              <w:spacing w:after="0" w:before="40"/>
            </w:pPr>
            <w:r>
              <w:t xml:space="preserve"/>
            </w:r>
          </w:p>
          <w:p>
            <w:pPr>
              <w:spacing w:after="40" w:before="40"/>
            </w:pPr>
            <w:r>
              <w:rPr>
                <w:rFonts w:ascii="Calibri" w:cs="Calibri" w:eastAsia="Calibri" w:hAnsi="Calibri"/>
                <w:i/>
                <w:iCs/>
                <w:color w:val="555555"/>
                <w:sz w:val="16"/>
                <w:szCs w:val="16"/>
              </w:rPr>
              <w:t xml:space="preserve">→ Azure Portal → Virtual Networks → subnets → export. Private endpoints → list all. Storage/SQL → Networking tab → show public access disabled.</w:t>
            </w:r>
          </w:p>
        </w:tc>
        <w:tc>
          <w:tcPr>
            <w:tcW w:type="dxa" w:w="1700"/>
            <w:tcBorders>
              <w:top w:val="single" w:color="BBBBBB" w:sz="4"/>
              <w:left w:val="single" w:color="BBBBBB" w:sz="4"/>
              <w:bottom w:val="single" w:color="BBBBBB" w:sz="4"/>
              <w:right w:val="single" w:color="BBBBBB" w:sz="4"/>
            </w:tcBorders>
            <w:shd w:fill="FDF3DC" w:val="clear"/>
            <w:tcMar>
              <w:top w:type="dxa" w:w="80"/>
              <w:left w:type="dxa" w:w="120"/>
              <w:bottom w:type="dxa" w:w="80"/>
              <w:right w:type="dxa" w:w="80"/>
            </w:tcMar>
          </w:tcPr>
          <w:p>
            <w:pPr>
              <w:spacing w:after="40" w:before="40"/>
            </w:pPr>
            <w:r>
              <w:rPr>
                <w:rFonts w:ascii="Calibri" w:cs="Calibri" w:eastAsia="Calibri" w:hAnsi="Calibri"/>
                <w:b/>
                <w:bCs/>
                <w:color w:val="7A5000"/>
                <w:sz w:val="18"/>
                <w:szCs w:val="18"/>
              </w:rPr>
              <w:t xml:space="preserve">PARTIAL</w:t>
            </w:r>
          </w:p>
          <w:p>
            <w:pPr>
              <w:spacing w:after="40" w:before="40"/>
            </w:pPr>
            <w:r>
              <w:rPr>
                <w:rFonts w:ascii="Calibri" w:cs="Calibri" w:eastAsia="Calibri" w:hAnsi="Calibri"/>
                <w:i/>
                <w:iCs/>
                <w:color w:val="555555"/>
                <w:sz w:val="15"/>
                <w:szCs w:val="15"/>
              </w:rPr>
              <w:t xml:space="preserve">VNet exists but private endpoint coverage and public access status not fully evidenced</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8.23</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Information Transfer</w:t>
            </w:r>
          </w:p>
          <w:p>
            <w:pPr>
              <w:spacing w:after="40" w:before="40"/>
            </w:pPr>
            <w:r>
              <w:rPr>
                <w:rFonts w:ascii="Calibri" w:cs="Calibri" w:eastAsia="Calibri" w:hAnsi="Calibri"/>
                <w:i/>
                <w:iCs/>
                <w:color w:val="555555"/>
                <w:sz w:val="15"/>
                <w:szCs w:val="15"/>
              </w:rPr>
              <w:t xml:space="preserve">CLI: az storage account list --query "[].{name:name, httpsOnly:en…</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Azure Storage / Service Bus / API Management</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Evidence that data in transit is encrypted (TLS 1.2 minimum). Secure transfer required enabled on storage accounts. API Management policy enforcing HTTPS.</w:t>
            </w:r>
          </w:p>
          <w:p>
            <w:pPr>
              <w:spacing w:after="0" w:before="40"/>
            </w:pPr>
            <w:r>
              <w:t xml:space="preserve"/>
            </w:r>
          </w:p>
          <w:p>
            <w:pPr>
              <w:spacing w:after="40" w:before="40"/>
            </w:pPr>
            <w:r>
              <w:rPr>
                <w:rFonts w:ascii="Calibri" w:cs="Calibri" w:eastAsia="Calibri" w:hAnsi="Calibri"/>
                <w:i/>
                <w:iCs/>
                <w:color w:val="555555"/>
                <w:sz w:val="16"/>
                <w:szCs w:val="16"/>
              </w:rPr>
              <w:t xml:space="preserve">→ Storage account → Configuration → Secure transfer required = Enabled. App Service → TLS/SSL settings → HTTPS Only = On. Screenshot each.</w:t>
            </w:r>
          </w:p>
        </w:tc>
        <w:tc>
          <w:tcPr>
            <w:tcW w:type="dxa" w:w="1700"/>
            <w:tcBorders>
              <w:top w:val="single" w:color="BBBBBB" w:sz="4"/>
              <w:left w:val="single" w:color="BBBBBB" w:sz="4"/>
              <w:bottom w:val="single" w:color="BBBBBB" w:sz="4"/>
              <w:right w:val="single" w:color="BBBBBB" w:sz="4"/>
            </w:tcBorders>
            <w:shd w:fill="FDF3DC" w:val="clear"/>
            <w:tcMar>
              <w:top w:type="dxa" w:w="80"/>
              <w:left w:type="dxa" w:w="120"/>
              <w:bottom w:type="dxa" w:w="80"/>
              <w:right w:type="dxa" w:w="80"/>
            </w:tcMar>
          </w:tcPr>
          <w:p>
            <w:pPr>
              <w:spacing w:after="40" w:before="40"/>
            </w:pPr>
            <w:r>
              <w:rPr>
                <w:rFonts w:ascii="Calibri" w:cs="Calibri" w:eastAsia="Calibri" w:hAnsi="Calibri"/>
                <w:b/>
                <w:bCs/>
                <w:color w:val="7A5000"/>
                <w:sz w:val="18"/>
                <w:szCs w:val="18"/>
              </w:rPr>
              <w:t xml:space="preserve">PARTIAL</w:t>
            </w:r>
          </w:p>
          <w:p>
            <w:pPr>
              <w:spacing w:after="40" w:before="40"/>
            </w:pPr>
            <w:r>
              <w:rPr>
                <w:rFonts w:ascii="Calibri" w:cs="Calibri" w:eastAsia="Calibri" w:hAnsi="Calibri"/>
                <w:i/>
                <w:iCs/>
                <w:color w:val="555555"/>
                <w:sz w:val="15"/>
                <w:szCs w:val="15"/>
              </w:rPr>
              <w:t xml:space="preserve">Secure transfer likely enabled but not evidenced across all storage accounts</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8.24</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b/>
                <w:bCs/>
                <w:color w:val="1A1A1A"/>
                <w:sz w:val="17"/>
                <w:szCs w:val="17"/>
              </w:rPr>
              <w:t xml:space="preserve">Use of Cryptography</w:t>
            </w:r>
          </w:p>
          <w:p>
            <w:pPr>
              <w:spacing w:after="40" w:before="40"/>
            </w:pPr>
            <w:r>
              <w:rPr>
                <w:rFonts w:ascii="Calibri" w:cs="Calibri" w:eastAsia="Calibri" w:hAnsi="Calibri"/>
                <w:i/>
                <w:iCs/>
                <w:color w:val="555555"/>
                <w:sz w:val="15"/>
                <w:szCs w:val="15"/>
              </w:rPr>
              <w:t xml:space="preserve">CLI: az keyvault key list --vault-name &lt;vault&gt; --output table &amp;&amp; …</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555555"/>
                <w:sz w:val="17"/>
                <w:szCs w:val="17"/>
              </w:rPr>
              <w:t xml:space="preserve">Azure Key Vault / Storage Encryption</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7"/>
                <w:szCs w:val="17"/>
              </w:rPr>
              <w:t xml:space="preserve">Key Vault key rotation policy. Encryption-at-rest configuration for storage, SQL, and managed disks. Customer-managed key (CMK) vs platform-managed key (PMK) decision documented.</w:t>
            </w:r>
          </w:p>
          <w:p>
            <w:pPr>
              <w:spacing w:after="0" w:before="40"/>
            </w:pPr>
            <w:r>
              <w:t xml:space="preserve"/>
            </w:r>
          </w:p>
          <w:p>
            <w:pPr>
              <w:spacing w:after="40" w:before="40"/>
            </w:pPr>
            <w:r>
              <w:rPr>
                <w:rFonts w:ascii="Calibri" w:cs="Calibri" w:eastAsia="Calibri" w:hAnsi="Calibri"/>
                <w:i/>
                <w:iCs/>
                <w:color w:val="555555"/>
                <w:sz w:val="16"/>
                <w:szCs w:val="16"/>
              </w:rPr>
              <w:t xml:space="preserve">→ Key Vault → Keys → rotation policy per key. Storage → Encryption → show key type. SQL → Transparent Data Encryption → status. Managed disks → Encryption type.</w:t>
            </w:r>
          </w:p>
        </w:tc>
        <w:tc>
          <w:tcPr>
            <w:tcW w:type="dxa" w:w="1700"/>
            <w:tcBorders>
              <w:top w:val="single" w:color="BBBBBB" w:sz="4"/>
              <w:left w:val="single" w:color="BBBBBB" w:sz="4"/>
              <w:bottom w:val="single" w:color="BBBBBB" w:sz="4"/>
              <w:right w:val="single" w:color="BBBBBB" w:sz="4"/>
            </w:tcBorders>
            <w:shd w:fill="FDF3DC" w:val="clear"/>
            <w:tcMar>
              <w:top w:type="dxa" w:w="80"/>
              <w:left w:type="dxa" w:w="120"/>
              <w:bottom w:type="dxa" w:w="80"/>
              <w:right w:type="dxa" w:w="80"/>
            </w:tcMar>
          </w:tcPr>
          <w:p>
            <w:pPr>
              <w:spacing w:after="40" w:before="40"/>
            </w:pPr>
            <w:r>
              <w:rPr>
                <w:rFonts w:ascii="Calibri" w:cs="Calibri" w:eastAsia="Calibri" w:hAnsi="Calibri"/>
                <w:b/>
                <w:bCs/>
                <w:color w:val="7A5000"/>
                <w:sz w:val="18"/>
                <w:szCs w:val="18"/>
              </w:rPr>
              <w:t xml:space="preserve">PARTIAL</w:t>
            </w:r>
          </w:p>
          <w:p>
            <w:pPr>
              <w:spacing w:after="40" w:before="40"/>
            </w:pPr>
            <w:r>
              <w:rPr>
                <w:rFonts w:ascii="Calibri" w:cs="Calibri" w:eastAsia="Calibri" w:hAnsi="Calibri"/>
                <w:i/>
                <w:iCs/>
                <w:color w:val="555555"/>
                <w:sz w:val="15"/>
                <w:szCs w:val="15"/>
              </w:rPr>
              <w:t xml:space="preserve">Key Vault exists but key rotation policy and CMK/PMK decisions not documented</w:t>
            </w:r>
          </w:p>
        </w:tc>
      </w:tr>
    </w:tbl>
    <w:p>
      <w:pPr>
        <w:spacing w:after="0" w:before="160"/>
      </w:pPr>
      <w:r>
        <w:t xml:space="preserve"/>
      </w:r>
    </w:p>
    <w:p>
      <w:pPr>
        <w:pBdr>
          <w:bottom w:val="single" w:color="2D2D2D" w:sz="6" w:space="1"/>
        </w:pBdr>
        <w:spacing w:after="120" w:before="320"/>
      </w:pPr>
      <w:r>
        <w:rPr>
          <w:rFonts w:ascii="Calibri" w:cs="Calibri" w:eastAsia="Calibri" w:hAnsi="Calibri"/>
          <w:b/>
          <w:bCs/>
          <w:color w:val="2D2D2D"/>
          <w:sz w:val="28"/>
          <w:szCs w:val="28"/>
        </w:rPr>
        <w:t xml:space="preserve">Section 3 — Auditor Question Scripts (Azure)</w:t>
      </w:r>
    </w:p>
    <w:p>
      <w:pPr>
        <w:spacing w:after="40" w:before="40"/>
      </w:pPr>
      <w:r>
        <w:rPr>
          <w:rFonts w:ascii="Calibri" w:cs="Calibri" w:eastAsia="Calibri" w:hAnsi="Calibri"/>
          <w:color w:val="555555"/>
          <w:sz w:val="19"/>
          <w:szCs w:val="19"/>
        </w:rPr>
        <w:t xml:space="preserve">These are the questions an ISO 27001 auditor asks most often in an Azure cloud audit. Study the answer scripts before the audit. Have the matching evidence file open and ready when each question is asked. If you cannot answer something — say: 'I can demonstrate that live in the portal' or 'I will confirm after this session.' Never guess.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BBBBBB" w:sz="4"/>
              <w:left w:val="single" w:color="BBBBBB" w:sz="4"/>
              <w:bottom w:val="single" w:color="BBBBBB" w:sz="4"/>
              <w:right w:val="single" w:color="BBBBBB" w:sz="4"/>
            </w:tcBorders>
            <w:shd w:fill="2D2D2D" w:val="clear"/>
            <w:tcMar>
              <w:top w:type="dxa" w:w="80"/>
              <w:left w:type="dxa" w:w="120"/>
              <w:bottom w:type="dxa" w:w="80"/>
              <w:right w:type="dxa" w:w="80"/>
            </w:tcMar>
          </w:tcPr>
          <w:p>
            <w:pPr>
              <w:spacing w:after="40" w:before="40"/>
            </w:pPr>
            <w:r>
              <w:rPr>
                <w:rFonts w:ascii="Calibri" w:cs="Calibri" w:eastAsia="Calibri" w:hAnsi="Calibri"/>
                <w:b/>
                <w:bCs/>
                <w:color w:val="FFFFFF"/>
                <w:sz w:val="18"/>
                <w:szCs w:val="18"/>
              </w:rPr>
              <w:t xml:space="preserve">Auditor Question</w:t>
            </w:r>
          </w:p>
        </w:tc>
        <w:tc>
          <w:tcPr>
            <w:tcW w:type="dxa" w:w="4000"/>
            <w:tcBorders>
              <w:top w:val="single" w:color="BBBBBB" w:sz="4"/>
              <w:left w:val="single" w:color="BBBBBB" w:sz="4"/>
              <w:bottom w:val="single" w:color="BBBBBB" w:sz="4"/>
              <w:right w:val="single" w:color="BBBBBB" w:sz="4"/>
            </w:tcBorders>
            <w:shd w:fill="2D2D2D" w:val="clear"/>
            <w:tcMar>
              <w:top w:type="dxa" w:w="80"/>
              <w:left w:type="dxa" w:w="120"/>
              <w:bottom w:type="dxa" w:w="80"/>
              <w:right w:type="dxa" w:w="80"/>
            </w:tcMar>
          </w:tcPr>
          <w:p>
            <w:pPr>
              <w:spacing w:after="40" w:before="40"/>
            </w:pPr>
            <w:r>
              <w:rPr>
                <w:rFonts w:ascii="Calibri" w:cs="Calibri" w:eastAsia="Calibri" w:hAnsi="Calibri"/>
                <w:b/>
                <w:bCs/>
                <w:color w:val="FFFFFF"/>
                <w:sz w:val="18"/>
                <w:szCs w:val="18"/>
              </w:rPr>
              <w:t xml:space="preserve">Your Answer Script</w:t>
            </w:r>
          </w:p>
        </w:tc>
        <w:tc>
          <w:tcPr>
            <w:tcW w:type="dxa" w:w="2560"/>
            <w:tcBorders>
              <w:top w:val="single" w:color="BBBBBB" w:sz="4"/>
              <w:left w:val="single" w:color="BBBBBB" w:sz="4"/>
              <w:bottom w:val="single" w:color="BBBBBB" w:sz="4"/>
              <w:right w:val="single" w:color="BBBBBB" w:sz="4"/>
            </w:tcBorders>
            <w:shd w:fill="2D2D2D" w:val="clear"/>
            <w:tcMar>
              <w:top w:type="dxa" w:w="80"/>
              <w:left w:type="dxa" w:w="120"/>
              <w:bottom w:type="dxa" w:w="80"/>
              <w:right w:type="dxa" w:w="80"/>
            </w:tcMar>
          </w:tcPr>
          <w:p>
            <w:pPr>
              <w:spacing w:after="40" w:before="40"/>
            </w:pPr>
            <w:r>
              <w:rPr>
                <w:rFonts w:ascii="Calibri" w:cs="Calibri" w:eastAsia="Calibri" w:hAnsi="Calibri"/>
                <w:b/>
                <w:bCs/>
                <w:color w:val="FFFFFF"/>
                <w:sz w:val="18"/>
                <w:szCs w:val="18"/>
              </w:rPr>
              <w:t xml:space="preserve">Evidence to Have Ready</w:t>
            </w:r>
          </w:p>
        </w:tc>
      </w:tr>
      <w:tr>
        <w:tc>
          <w:tcPr>
            <w:tcW w:type="dxa" w:w="2800"/>
            <w:tcBorders>
              <w:top w:val="single" w:color="BBBBBB" w:sz="4"/>
              <w:left w:val="single" w:color="BBBBBB" w:sz="4"/>
              <w:bottom w:val="single" w:color="BBBBBB" w:sz="4"/>
              <w:right w:val="single" w:color="BBBBBB" w:sz="4"/>
            </w:tcBorders>
            <w:shd w:fill="F5F5F5" w:val="clear"/>
            <w:tcMar>
              <w:top w:type="dxa" w:w="90"/>
              <w:left w:type="dxa" w:w="120"/>
              <w:bottom w:type="dxa" w:w="90"/>
              <w:right w:type="dxa" w:w="80"/>
            </w:tcMar>
          </w:tcPr>
          <w:p>
            <w:pPr>
              <w:spacing w:after="40" w:before="40"/>
            </w:pPr>
            <w:r>
              <w:rPr>
                <w:rFonts w:ascii="Calibri" w:cs="Calibri" w:eastAsia="Calibri" w:hAnsi="Calibri"/>
                <w:b/>
                <w:bCs/>
                <w:color w:val="1A1A1A"/>
                <w:sz w:val="18"/>
                <w:szCs w:val="18"/>
              </w:rPr>
              <w:t xml:space="preserve">Walk me through your Azure ISMS scope.</w:t>
            </w:r>
          </w:p>
        </w:tc>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8"/>
                <w:szCs w:val="18"/>
              </w:rPr>
              <w:t xml:space="preserve">Our scope covers [subscription(s)], resource groups [X, Y], and services including Entra ID, Defender for Cloud, Azure Monitor, Key Vault, and Sentinel. Physical infrastructure is Microsoft's responsibility — covered by their ISO 27001 cert on the Service Trust Portal.</w:t>
            </w:r>
          </w:p>
        </w:tc>
        <w:tc>
          <w:tcPr>
            <w:tcW w:type="dxa" w:w="2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i/>
                <w:iCs/>
                <w:color w:val="555555"/>
                <w:sz w:val="17"/>
                <w:szCs w:val="17"/>
              </w:rPr>
              <w:t xml:space="preserve">Scope document, subscription screenshot, Microsoft ISO cert reference</w:t>
            </w:r>
          </w:p>
        </w:tc>
      </w:tr>
      <w:tr>
        <w:tc>
          <w:tcPr>
            <w:tcW w:type="dxa" w:w="2800"/>
            <w:tcBorders>
              <w:top w:val="single" w:color="BBBBBB" w:sz="4"/>
              <w:left w:val="single" w:color="BBBBBB" w:sz="4"/>
              <w:bottom w:val="single" w:color="BBBBBB" w:sz="4"/>
              <w:right w:val="single" w:color="BBBBBB" w:sz="4"/>
            </w:tcBorders>
            <w:shd w:fill="F5F5F5" w:val="clear"/>
            <w:tcMar>
              <w:top w:type="dxa" w:w="90"/>
              <w:left w:type="dxa" w:w="120"/>
              <w:bottom w:type="dxa" w:w="90"/>
              <w:right w:type="dxa" w:w="80"/>
            </w:tcMar>
          </w:tcPr>
          <w:p>
            <w:pPr>
              <w:spacing w:after="40" w:before="40"/>
            </w:pPr>
            <w:r>
              <w:rPr>
                <w:rFonts w:ascii="Calibri" w:cs="Calibri" w:eastAsia="Calibri" w:hAnsi="Calibri"/>
                <w:b/>
                <w:bCs/>
                <w:color w:val="1A1A1A"/>
                <w:sz w:val="18"/>
                <w:szCs w:val="18"/>
              </w:rPr>
              <w:t xml:space="preserve">Show me how you manage privileged access in Azure.</w:t>
            </w:r>
          </w:p>
        </w:tc>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8"/>
                <w:szCs w:val="18"/>
              </w:rPr>
              <w:t xml:space="preserve">Privileged roles are managed via PIM. Eligible assignments require just-in-time activation with MFA and manager approval. We have no standing Owner assignments to non-admin accounts. RBAC2025.xlsx documents all current assignments.</w:t>
            </w:r>
          </w:p>
        </w:tc>
        <w:tc>
          <w:tcPr>
            <w:tcW w:type="dxa" w:w="2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i/>
                <w:iCs/>
                <w:color w:val="555555"/>
                <w:sz w:val="17"/>
                <w:szCs w:val="17"/>
              </w:rPr>
              <w:t xml:space="preserve">PIM role assignment export, activation log, RBAC2025.xlsx</w:t>
            </w:r>
          </w:p>
        </w:tc>
      </w:tr>
      <w:tr>
        <w:tc>
          <w:tcPr>
            <w:tcW w:type="dxa" w:w="2800"/>
            <w:tcBorders>
              <w:top w:val="single" w:color="BBBBBB" w:sz="4"/>
              <w:left w:val="single" w:color="BBBBBB" w:sz="4"/>
              <w:bottom w:val="single" w:color="BBBBBB" w:sz="4"/>
              <w:right w:val="single" w:color="BBBBBB" w:sz="4"/>
            </w:tcBorders>
            <w:shd w:fill="F5F5F5" w:val="clear"/>
            <w:tcMar>
              <w:top w:type="dxa" w:w="90"/>
              <w:left w:type="dxa" w:w="120"/>
              <w:bottom w:type="dxa" w:w="90"/>
              <w:right w:type="dxa" w:w="80"/>
            </w:tcMar>
          </w:tcPr>
          <w:p>
            <w:pPr>
              <w:spacing w:after="40" w:before="40"/>
            </w:pPr>
            <w:r>
              <w:rPr>
                <w:rFonts w:ascii="Calibri" w:cs="Calibri" w:eastAsia="Calibri" w:hAnsi="Calibri"/>
                <w:b/>
                <w:bCs/>
                <w:color w:val="1A1A1A"/>
                <w:sz w:val="18"/>
                <w:szCs w:val="18"/>
              </w:rPr>
              <w:t xml:space="preserve">How do you enforce secure authentication?</w:t>
            </w:r>
          </w:p>
        </w:tc>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8"/>
                <w:szCs w:val="18"/>
              </w:rPr>
              <w:t xml:space="preserve">Conditional Access policies enforce MFA for all users, block legacy authentication, and require compliant devices for privileged access. Authentication methods are managed centrally through Entra ID.</w:t>
            </w:r>
          </w:p>
        </w:tc>
        <w:tc>
          <w:tcPr>
            <w:tcW w:type="dxa" w:w="2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i/>
                <w:iCs/>
                <w:color w:val="555555"/>
                <w:sz w:val="17"/>
                <w:szCs w:val="17"/>
              </w:rPr>
              <w:t xml:space="preserve">CA policy screenshots, MFA registration report, authentication methods policy</w:t>
            </w:r>
          </w:p>
        </w:tc>
      </w:tr>
      <w:tr>
        <w:tc>
          <w:tcPr>
            <w:tcW w:type="dxa" w:w="2800"/>
            <w:tcBorders>
              <w:top w:val="single" w:color="BBBBBB" w:sz="4"/>
              <w:left w:val="single" w:color="BBBBBB" w:sz="4"/>
              <w:bottom w:val="single" w:color="BBBBBB" w:sz="4"/>
              <w:right w:val="single" w:color="BBBBBB" w:sz="4"/>
            </w:tcBorders>
            <w:shd w:fill="F5F5F5" w:val="clear"/>
            <w:tcMar>
              <w:top w:type="dxa" w:w="90"/>
              <w:left w:type="dxa" w:w="120"/>
              <w:bottom w:type="dxa" w:w="90"/>
              <w:right w:type="dxa" w:w="80"/>
            </w:tcMar>
          </w:tcPr>
          <w:p>
            <w:pPr>
              <w:spacing w:after="40" w:before="40"/>
            </w:pPr>
            <w:r>
              <w:rPr>
                <w:rFonts w:ascii="Calibri" w:cs="Calibri" w:eastAsia="Calibri" w:hAnsi="Calibri"/>
                <w:b/>
                <w:bCs/>
                <w:color w:val="1A1A1A"/>
                <w:sz w:val="18"/>
                <w:szCs w:val="18"/>
              </w:rPr>
              <w:t xml:space="preserve">How do you monitor for security events?</w:t>
            </w:r>
          </w:p>
        </w:tc>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8"/>
                <w:szCs w:val="18"/>
              </w:rPr>
              <w:t xml:space="preserve">Diagnostic settings feed all in-scope resources into a central Log Analytics workspace. Microsoft Sentinel provides threat detection with active analytics rules. Incidents are reviewed and responded to by [team/role].</w:t>
            </w:r>
          </w:p>
        </w:tc>
        <w:tc>
          <w:tcPr>
            <w:tcW w:type="dxa" w:w="2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i/>
                <w:iCs/>
                <w:color w:val="555555"/>
                <w:sz w:val="17"/>
                <w:szCs w:val="17"/>
              </w:rPr>
              <w:t xml:space="preserve">Diagnostic settings compliance report, Sentinel analytics rule list, incident export</w:t>
            </w:r>
          </w:p>
        </w:tc>
      </w:tr>
      <w:tr>
        <w:tc>
          <w:tcPr>
            <w:tcW w:type="dxa" w:w="2800"/>
            <w:tcBorders>
              <w:top w:val="single" w:color="BBBBBB" w:sz="4"/>
              <w:left w:val="single" w:color="BBBBBB" w:sz="4"/>
              <w:bottom w:val="single" w:color="BBBBBB" w:sz="4"/>
              <w:right w:val="single" w:color="BBBBBB" w:sz="4"/>
            </w:tcBorders>
            <w:shd w:fill="F5F5F5" w:val="clear"/>
            <w:tcMar>
              <w:top w:type="dxa" w:w="90"/>
              <w:left w:type="dxa" w:w="120"/>
              <w:bottom w:type="dxa" w:w="90"/>
              <w:right w:type="dxa" w:w="80"/>
            </w:tcMar>
          </w:tcPr>
          <w:p>
            <w:pPr>
              <w:spacing w:after="40" w:before="40"/>
            </w:pPr>
            <w:r>
              <w:rPr>
                <w:rFonts w:ascii="Calibri" w:cs="Calibri" w:eastAsia="Calibri" w:hAnsi="Calibri"/>
                <w:b/>
                <w:bCs/>
                <w:color w:val="1A1A1A"/>
                <w:sz w:val="18"/>
                <w:szCs w:val="18"/>
              </w:rPr>
              <w:t xml:space="preserve">Show me your backup configuration and evidence of a restore test.</w:t>
            </w:r>
          </w:p>
        </w:tc>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8"/>
                <w:szCs w:val="18"/>
              </w:rPr>
              <w:t xml:space="preserve">Azure Backup policies are configured on all in-scope VMs and databases with [frequency] and [retention] retention. Backup job history confirms successful runs throughout the period. [Note restore test status honestly].</w:t>
            </w:r>
          </w:p>
        </w:tc>
        <w:tc>
          <w:tcPr>
            <w:tcW w:type="dxa" w:w="2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i/>
                <w:iCs/>
                <w:color w:val="555555"/>
                <w:sz w:val="17"/>
                <w:szCs w:val="17"/>
              </w:rPr>
              <w:t xml:space="preserve">Backup policy screenshots, backup job history export, restore test record if available</w:t>
            </w:r>
          </w:p>
        </w:tc>
      </w:tr>
      <w:tr>
        <w:tc>
          <w:tcPr>
            <w:tcW w:type="dxa" w:w="2800"/>
            <w:tcBorders>
              <w:top w:val="single" w:color="BBBBBB" w:sz="4"/>
              <w:left w:val="single" w:color="BBBBBB" w:sz="4"/>
              <w:bottom w:val="single" w:color="BBBBBB" w:sz="4"/>
              <w:right w:val="single" w:color="BBBBBB" w:sz="4"/>
            </w:tcBorders>
            <w:shd w:fill="F5F5F5" w:val="clear"/>
            <w:tcMar>
              <w:top w:type="dxa" w:w="90"/>
              <w:left w:type="dxa" w:w="120"/>
              <w:bottom w:type="dxa" w:w="90"/>
              <w:right w:type="dxa" w:w="80"/>
            </w:tcMar>
          </w:tcPr>
          <w:p>
            <w:pPr>
              <w:spacing w:after="40" w:before="40"/>
            </w:pPr>
            <w:r>
              <w:rPr>
                <w:rFonts w:ascii="Calibri" w:cs="Calibri" w:eastAsia="Calibri" w:hAnsi="Calibri"/>
                <w:b/>
                <w:bCs/>
                <w:color w:val="1A1A1A"/>
                <w:sz w:val="18"/>
                <w:szCs w:val="18"/>
              </w:rPr>
              <w:t xml:space="preserve">How is data protected in transit and at rest?</w:t>
            </w:r>
          </w:p>
        </w:tc>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8"/>
                <w:szCs w:val="18"/>
              </w:rPr>
              <w:t xml:space="preserve">Secure transfer is enforced on all storage accounts. App Services are HTTPS-only with TLS 1.2 minimum. Data at rest uses Azure-managed encryption by default. Key Vault manages keys with rotation policies configured.</w:t>
            </w:r>
          </w:p>
        </w:tc>
        <w:tc>
          <w:tcPr>
            <w:tcW w:type="dxa" w:w="2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i/>
                <w:iCs/>
                <w:color w:val="555555"/>
                <w:sz w:val="17"/>
                <w:szCs w:val="17"/>
              </w:rPr>
              <w:t xml:space="preserve">Storage HTTPS query result, TLS settings screenshots, Key Vault key rotation policy</w:t>
            </w:r>
          </w:p>
        </w:tc>
      </w:tr>
      <w:tr>
        <w:tc>
          <w:tcPr>
            <w:tcW w:type="dxa" w:w="2800"/>
            <w:tcBorders>
              <w:top w:val="single" w:color="BBBBBB" w:sz="4"/>
              <w:left w:val="single" w:color="BBBBBB" w:sz="4"/>
              <w:bottom w:val="single" w:color="BBBBBB" w:sz="4"/>
              <w:right w:val="single" w:color="BBBBBB" w:sz="4"/>
            </w:tcBorders>
            <w:shd w:fill="F5F5F5" w:val="clear"/>
            <w:tcMar>
              <w:top w:type="dxa" w:w="90"/>
              <w:left w:type="dxa" w:w="120"/>
              <w:bottom w:type="dxa" w:w="90"/>
              <w:right w:type="dxa" w:w="80"/>
            </w:tcMar>
          </w:tcPr>
          <w:p>
            <w:pPr>
              <w:spacing w:after="40" w:before="40"/>
            </w:pPr>
            <w:r>
              <w:rPr>
                <w:rFonts w:ascii="Calibri" w:cs="Calibri" w:eastAsia="Calibri" w:hAnsi="Calibri"/>
                <w:b/>
                <w:bCs/>
                <w:color w:val="1A1A1A"/>
                <w:sz w:val="18"/>
                <w:szCs w:val="18"/>
              </w:rPr>
              <w:t xml:space="preserve">How do you segregate your network?</w:t>
            </w:r>
          </w:p>
        </w:tc>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8"/>
                <w:szCs w:val="18"/>
              </w:rPr>
              <w:t xml:space="preserve">Production, dev, and management workloads are in separate subnets within dedicated VNets. PaaS services use private endpoints — public access is disabled. NSG rules enforce least-privilege traffic flow at subnet level.</w:t>
            </w:r>
          </w:p>
        </w:tc>
        <w:tc>
          <w:tcPr>
            <w:tcW w:type="dxa" w:w="2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i/>
                <w:iCs/>
                <w:color w:val="555555"/>
                <w:sz w:val="17"/>
                <w:szCs w:val="17"/>
              </w:rPr>
              <w:t xml:space="preserve">VNet/subnet layout, private endpoint list, NSG rule export, storage public access screenshot</w:t>
            </w:r>
          </w:p>
        </w:tc>
      </w:tr>
      <w:tr>
        <w:tc>
          <w:tcPr>
            <w:tcW w:type="dxa" w:w="2800"/>
            <w:tcBorders>
              <w:top w:val="single" w:color="BBBBBB" w:sz="4"/>
              <w:left w:val="single" w:color="BBBBBB" w:sz="4"/>
              <w:bottom w:val="single" w:color="BBBBBB" w:sz="4"/>
              <w:right w:val="single" w:color="BBBBBB" w:sz="4"/>
            </w:tcBorders>
            <w:shd w:fill="F5F5F5" w:val="clear"/>
            <w:tcMar>
              <w:top w:type="dxa" w:w="90"/>
              <w:left w:type="dxa" w:w="120"/>
              <w:bottom w:type="dxa" w:w="90"/>
              <w:right w:type="dxa" w:w="80"/>
            </w:tcMar>
          </w:tcPr>
          <w:p>
            <w:pPr>
              <w:spacing w:after="40" w:before="40"/>
            </w:pPr>
            <w:r>
              <w:rPr>
                <w:rFonts w:ascii="Calibri" w:cs="Calibri" w:eastAsia="Calibri" w:hAnsi="Calibri"/>
                <w:b/>
                <w:bCs/>
                <w:color w:val="1A1A1A"/>
                <w:sz w:val="18"/>
                <w:szCs w:val="18"/>
              </w:rPr>
              <w:t xml:space="preserve">How do you manage vulnerabilities on Azure workloads?</w:t>
            </w:r>
          </w:p>
        </w:tc>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8"/>
                <w:szCs w:val="18"/>
              </w:rPr>
              <w:t xml:space="preserve">Defender for Cloud is enabled and provides continuous vulnerability assessment. Recommendations are reviewed [weekly/monthly]. Critical and High findings are remediated within [X] days. Current Secure Score is [X].</w:t>
            </w:r>
          </w:p>
        </w:tc>
        <w:tc>
          <w:tcPr>
            <w:tcW w:type="dxa" w:w="2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i/>
                <w:iCs/>
                <w:color w:val="555555"/>
                <w:sz w:val="17"/>
                <w:szCs w:val="17"/>
              </w:rPr>
              <w:t xml:space="preserve">Defender for Cloud recommendations export, Secure Score screenshot</w:t>
            </w:r>
          </w:p>
        </w:tc>
      </w:tr>
      <w:tr>
        <w:tc>
          <w:tcPr>
            <w:tcW w:type="dxa" w:w="2800"/>
            <w:tcBorders>
              <w:top w:val="single" w:color="BBBBBB" w:sz="4"/>
              <w:left w:val="single" w:color="BBBBBB" w:sz="4"/>
              <w:bottom w:val="single" w:color="BBBBBB" w:sz="4"/>
              <w:right w:val="single" w:color="BBBBBB" w:sz="4"/>
            </w:tcBorders>
            <w:shd w:fill="F5F5F5" w:val="clear"/>
            <w:tcMar>
              <w:top w:type="dxa" w:w="90"/>
              <w:left w:type="dxa" w:w="120"/>
              <w:bottom w:type="dxa" w:w="90"/>
              <w:right w:type="dxa" w:w="80"/>
            </w:tcMar>
          </w:tcPr>
          <w:p>
            <w:pPr>
              <w:spacing w:after="40" w:before="40"/>
            </w:pPr>
            <w:r>
              <w:rPr>
                <w:rFonts w:ascii="Calibri" w:cs="Calibri" w:eastAsia="Calibri" w:hAnsi="Calibri"/>
                <w:b/>
                <w:bCs/>
                <w:color w:val="1A1A1A"/>
                <w:sz w:val="18"/>
                <w:szCs w:val="18"/>
              </w:rPr>
              <w:t xml:space="preserve">What is your process for controlling software installation?</w:t>
            </w:r>
          </w:p>
        </w:tc>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8"/>
                <w:szCs w:val="18"/>
              </w:rPr>
              <w:t xml:space="preserve">Software installation on IaaS VMs requires a change request approved by [role]. Defender for Cloud adaptive application controls [are/are not] enabled. Unauthorised software is detected through Defender alerts.</w:t>
            </w:r>
          </w:p>
        </w:tc>
        <w:tc>
          <w:tcPr>
            <w:tcW w:type="dxa" w:w="2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i/>
                <w:iCs/>
                <w:color w:val="555555"/>
                <w:sz w:val="17"/>
                <w:szCs w:val="17"/>
              </w:rPr>
              <w:t xml:space="preserve">Change management records, Defender adaptive controls report or documented process</w:t>
            </w:r>
          </w:p>
        </w:tc>
      </w:tr>
      <w:tr>
        <w:tc>
          <w:tcPr>
            <w:tcW w:type="dxa" w:w="2800"/>
            <w:tcBorders>
              <w:top w:val="single" w:color="BBBBBB" w:sz="4"/>
              <w:left w:val="single" w:color="BBBBBB" w:sz="4"/>
              <w:bottom w:val="single" w:color="BBBBBB" w:sz="4"/>
              <w:right w:val="single" w:color="BBBBBB" w:sz="4"/>
            </w:tcBorders>
            <w:shd w:fill="F5F5F5" w:val="clear"/>
            <w:tcMar>
              <w:top w:type="dxa" w:w="90"/>
              <w:left w:type="dxa" w:w="120"/>
              <w:bottom w:type="dxa" w:w="90"/>
              <w:right w:type="dxa" w:w="80"/>
            </w:tcMar>
          </w:tcPr>
          <w:p>
            <w:pPr>
              <w:spacing w:after="40" w:before="40"/>
            </w:pPr>
            <w:r>
              <w:rPr>
                <w:rFonts w:ascii="Calibri" w:cs="Calibri" w:eastAsia="Calibri" w:hAnsi="Calibri"/>
                <w:b/>
                <w:bCs/>
                <w:color w:val="1A1A1A"/>
                <w:sz w:val="18"/>
                <w:szCs w:val="18"/>
              </w:rPr>
              <w:t xml:space="preserve">If a security incident occurred in Azure, what would happen?</w:t>
            </w:r>
          </w:p>
        </w:tc>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color w:val="1A1A1A"/>
                <w:sz w:val="18"/>
                <w:szCs w:val="18"/>
              </w:rPr>
              <w:t xml:space="preserve">Sentinel analytics rules generate incidents which are triaged by [role]. We follow our Incident Response procedure: classify, contain, investigate, recover, and post-incident review. All incidents are logged in Sentinel.</w:t>
            </w:r>
          </w:p>
        </w:tc>
        <w:tc>
          <w:tcPr>
            <w:tcW w:type="dxa" w:w="2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80"/>
            </w:tcMar>
          </w:tcPr>
          <w:p>
            <w:pPr>
              <w:spacing w:after="40" w:before="40"/>
            </w:pPr>
            <w:r>
              <w:rPr>
                <w:rFonts w:ascii="Calibri" w:cs="Calibri" w:eastAsia="Calibri" w:hAnsi="Calibri"/>
                <w:i/>
                <w:iCs/>
                <w:color w:val="555555"/>
                <w:sz w:val="17"/>
                <w:szCs w:val="17"/>
              </w:rPr>
              <w:t xml:space="preserve">IR procedure document, Sentinel incident log for review period</w:t>
            </w:r>
          </w:p>
        </w:tc>
      </w:tr>
    </w:tbl>
    <w:p>
      <w:pPr>
        <w:spacing w:after="0" w:before="160"/>
      </w:pPr>
      <w:r>
        <w:t xml:space="preserve"/>
      </w:r>
    </w:p>
    <w:p>
      <w:pPr>
        <w:pBdr>
          <w:bottom w:val="single" w:color="2D2D2D" w:sz="6" w:space="1"/>
        </w:pBdr>
        <w:spacing w:after="120" w:before="320"/>
      </w:pPr>
      <w:r>
        <w:rPr>
          <w:rFonts w:ascii="Calibri" w:cs="Calibri" w:eastAsia="Calibri" w:hAnsi="Calibri"/>
          <w:b/>
          <w:bCs/>
          <w:color w:val="2D2D2D"/>
          <w:sz w:val="28"/>
          <w:szCs w:val="28"/>
        </w:rPr>
        <w:t xml:space="preserve">Section 4 — Shared Responsibility Reference</w:t>
      </w:r>
    </w:p>
    <w:p>
      <w:pPr>
        <w:spacing w:after="40" w:before="40"/>
      </w:pPr>
      <w:r>
        <w:rPr>
          <w:rFonts w:ascii="Calibri" w:cs="Calibri" w:eastAsia="Calibri" w:hAnsi="Calibri"/>
          <w:color w:val="555555"/>
          <w:sz w:val="19"/>
          <w:szCs w:val="19"/>
        </w:rPr>
        <w:t xml:space="preserve">Auditors frequently probe the shared responsibility boundary. Being clear on this is as important as the technical evidence.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2D2D2D" w:val="clear"/>
            <w:tcMar>
              <w:top w:type="dxa" w:w="80"/>
              <w:left w:type="dxa" w:w="120"/>
              <w:bottom w:type="dxa" w:w="80"/>
              <w:right w:type="dxa" w:w="80"/>
            </w:tcMar>
          </w:tcPr>
          <w:p>
            <w:pPr>
              <w:spacing w:after="40" w:before="40"/>
            </w:pPr>
            <w:r>
              <w:rPr>
                <w:rFonts w:ascii="Calibri" w:cs="Calibri" w:eastAsia="Calibri" w:hAnsi="Calibri"/>
                <w:b/>
                <w:bCs/>
                <w:color w:val="FFFFFF"/>
                <w:sz w:val="18"/>
                <w:szCs w:val="18"/>
              </w:rPr>
              <w:t xml:space="preserve">Microsoft Responsibility (not audited against you)</w:t>
            </w:r>
          </w:p>
        </w:tc>
        <w:tc>
          <w:tcPr>
            <w:tcW w:type="dxa" w:w="4680"/>
            <w:tcBorders>
              <w:top w:val="single" w:color="BBBBBB" w:sz="4"/>
              <w:left w:val="single" w:color="BBBBBB" w:sz="4"/>
              <w:bottom w:val="single" w:color="BBBBBB" w:sz="4"/>
              <w:right w:val="single" w:color="BBBBBB" w:sz="4"/>
            </w:tcBorders>
            <w:shd w:fill="2D2D2D" w:val="clear"/>
            <w:tcMar>
              <w:top w:type="dxa" w:w="80"/>
              <w:left w:type="dxa" w:w="120"/>
              <w:bottom w:type="dxa" w:w="80"/>
              <w:right w:type="dxa" w:w="80"/>
            </w:tcMar>
          </w:tcPr>
          <w:p>
            <w:pPr>
              <w:spacing w:after="40" w:before="40"/>
            </w:pPr>
            <w:r>
              <w:rPr>
                <w:rFonts w:ascii="Calibri" w:cs="Calibri" w:eastAsia="Calibri" w:hAnsi="Calibri"/>
                <w:b/>
                <w:bCs/>
                <w:color w:val="FFFFFF"/>
                <w:sz w:val="18"/>
                <w:szCs w:val="18"/>
              </w:rPr>
              <w:t xml:space="preserve">Your Responsibility (you must evidence these)</w:t>
            </w:r>
          </w:p>
        </w:tc>
      </w:tr>
      <w:tr>
        <w:tc>
          <w:tcPr>
            <w:tcW w:type="dxa" w:w="4680"/>
            <w:tcBorders>
              <w:top w:val="single" w:color="BBBBBB" w:sz="4"/>
              <w:left w:val="single" w:color="BBBBBB" w:sz="4"/>
              <w:bottom w:val="single" w:color="BBBBBB" w:sz="4"/>
              <w:right w:val="single" w:color="BBBBBB" w:sz="4"/>
            </w:tcBorders>
            <w:shd w:fill="FFFFFF" w:val="clear"/>
            <w:tcMar>
              <w:top w:type="dxa" w:w="120"/>
              <w:left w:type="dxa" w:w="160"/>
              <w:bottom w:type="dxa" w:w="120"/>
              <w:right w:type="dxa" w:w="140"/>
            </w:tcMar>
          </w:tcPr>
          <w:p>
            <w:pPr>
              <w:spacing w:after="40" w:before="40"/>
            </w:pPr>
            <w:r>
              <w:rPr>
                <w:rFonts w:ascii="Calibri" w:cs="Calibri" w:eastAsia="Calibri" w:hAnsi="Calibri"/>
                <w:color w:val="1A1A1A"/>
                <w:sz w:val="18"/>
                <w:szCs w:val="18"/>
              </w:rPr>
              <w:t xml:space="preserve">Physical datacentre security</w:t>
            </w:r>
          </w:p>
          <w:p>
            <w:pPr>
              <w:spacing w:after="40" w:before="40"/>
            </w:pPr>
            <w:r>
              <w:rPr>
                <w:rFonts w:ascii="Calibri" w:cs="Calibri" w:eastAsia="Calibri" w:hAnsi="Calibri"/>
                <w:color w:val="1A1A1A"/>
                <w:sz w:val="18"/>
                <w:szCs w:val="18"/>
              </w:rPr>
              <w:t xml:space="preserve">Hardware and server infrastructure</w:t>
            </w:r>
          </w:p>
          <w:p>
            <w:pPr>
              <w:spacing w:after="40" w:before="40"/>
            </w:pPr>
            <w:r>
              <w:rPr>
                <w:rFonts w:ascii="Calibri" w:cs="Calibri" w:eastAsia="Calibri" w:hAnsi="Calibri"/>
                <w:color w:val="1A1A1A"/>
                <w:sz w:val="18"/>
                <w:szCs w:val="18"/>
              </w:rPr>
              <w:t xml:space="preserve">Hypervisor and virtualisation layer</w:t>
            </w:r>
          </w:p>
          <w:p>
            <w:pPr>
              <w:spacing w:after="40" w:before="40"/>
            </w:pPr>
            <w:r>
              <w:rPr>
                <w:rFonts w:ascii="Calibri" w:cs="Calibri" w:eastAsia="Calibri" w:hAnsi="Calibri"/>
                <w:color w:val="1A1A1A"/>
                <w:sz w:val="18"/>
                <w:szCs w:val="18"/>
              </w:rPr>
              <w:t xml:space="preserve">Azure platform availability and resilience</w:t>
            </w:r>
          </w:p>
          <w:p>
            <w:pPr>
              <w:spacing w:after="40" w:before="40"/>
            </w:pPr>
            <w:r>
              <w:rPr>
                <w:rFonts w:ascii="Calibri" w:cs="Calibri" w:eastAsia="Calibri" w:hAnsi="Calibri"/>
                <w:color w:val="1A1A1A"/>
                <w:sz w:val="18"/>
                <w:szCs w:val="18"/>
              </w:rPr>
              <w:t xml:space="preserve">Network infrastructure below tenant level</w:t>
            </w:r>
          </w:p>
          <w:p>
            <w:pPr>
              <w:spacing w:after="0" w:before="60"/>
            </w:pPr>
            <w:r>
              <w:t xml:space="preserve"/>
            </w:r>
          </w:p>
          <w:p>
            <w:pPr>
              <w:spacing w:after="40" w:before="40"/>
            </w:pPr>
            <w:r>
              <w:rPr>
                <w:rFonts w:ascii="Calibri" w:cs="Calibri" w:eastAsia="Calibri" w:hAnsi="Calibri"/>
                <w:i/>
                <w:iCs/>
                <w:color w:val="555555"/>
                <w:sz w:val="17"/>
                <w:szCs w:val="17"/>
              </w:rPr>
              <w:t xml:space="preserve">Evidence: Microsoft ISO 27001 certificate + Service Trust Portal reports</w:t>
            </w:r>
          </w:p>
        </w:tc>
        <w:tc>
          <w:tcPr>
            <w:tcW w:type="dxa" w:w="4680"/>
            <w:tcBorders>
              <w:top w:val="single" w:color="BBBBBB" w:sz="4"/>
              <w:left w:val="single" w:color="BBBBBB" w:sz="4"/>
              <w:bottom w:val="single" w:color="BBBBBB" w:sz="4"/>
              <w:right w:val="single" w:color="BBBBBB" w:sz="4"/>
            </w:tcBorders>
            <w:shd w:fill="FFFFFF" w:val="clear"/>
            <w:tcMar>
              <w:top w:type="dxa" w:w="120"/>
              <w:left w:type="dxa" w:w="160"/>
              <w:bottom w:type="dxa" w:w="120"/>
              <w:right w:type="dxa" w:w="140"/>
            </w:tcMar>
          </w:tcPr>
          <w:p>
            <w:pPr>
              <w:spacing w:after="40" w:before="40"/>
            </w:pPr>
            <w:r>
              <w:rPr>
                <w:rFonts w:ascii="Calibri" w:cs="Calibri" w:eastAsia="Calibri" w:hAnsi="Calibri"/>
                <w:color w:val="1A1A1A"/>
                <w:sz w:val="18"/>
                <w:szCs w:val="18"/>
              </w:rPr>
              <w:t xml:space="preserve">Identity and access management (Entra ID, PIM, RBAC)</w:t>
            </w:r>
          </w:p>
          <w:p>
            <w:pPr>
              <w:spacing w:after="40" w:before="40"/>
            </w:pPr>
            <w:r>
              <w:rPr>
                <w:rFonts w:ascii="Calibri" w:cs="Calibri" w:eastAsia="Calibri" w:hAnsi="Calibri"/>
                <w:color w:val="1A1A1A"/>
                <w:sz w:val="18"/>
                <w:szCs w:val="18"/>
              </w:rPr>
              <w:t xml:space="preserve">Operating system configuration and patching (IaaS)</w:t>
            </w:r>
          </w:p>
          <w:p>
            <w:pPr>
              <w:spacing w:after="40" w:before="40"/>
            </w:pPr>
            <w:r>
              <w:rPr>
                <w:rFonts w:ascii="Calibri" w:cs="Calibri" w:eastAsia="Calibri" w:hAnsi="Calibri"/>
                <w:color w:val="1A1A1A"/>
                <w:sz w:val="18"/>
                <w:szCs w:val="18"/>
              </w:rPr>
              <w:t xml:space="preserve">Application security and data classification</w:t>
            </w:r>
          </w:p>
          <w:p>
            <w:pPr>
              <w:spacing w:after="40" w:before="40"/>
            </w:pPr>
            <w:r>
              <w:rPr>
                <w:rFonts w:ascii="Calibri" w:cs="Calibri" w:eastAsia="Calibri" w:hAnsi="Calibri"/>
                <w:color w:val="1A1A1A"/>
                <w:sz w:val="18"/>
                <w:szCs w:val="18"/>
              </w:rPr>
              <w:t xml:space="preserve">Network controls within the tenant (NSG, Firewall)</w:t>
            </w:r>
          </w:p>
          <w:p>
            <w:pPr>
              <w:spacing w:after="40" w:before="40"/>
            </w:pPr>
            <w:r>
              <w:rPr>
                <w:rFonts w:ascii="Calibri" w:cs="Calibri" w:eastAsia="Calibri" w:hAnsi="Calibri"/>
                <w:color w:val="1A1A1A"/>
                <w:sz w:val="18"/>
                <w:szCs w:val="18"/>
              </w:rPr>
              <w:t xml:space="preserve">Data encryption and key management (Key Vault)</w:t>
            </w:r>
          </w:p>
          <w:p>
            <w:pPr>
              <w:spacing w:after="40" w:before="40"/>
            </w:pPr>
            <w:r>
              <w:rPr>
                <w:rFonts w:ascii="Calibri" w:cs="Calibri" w:eastAsia="Calibri" w:hAnsi="Calibri"/>
                <w:color w:val="1A1A1A"/>
                <w:sz w:val="18"/>
                <w:szCs w:val="18"/>
              </w:rPr>
              <w:t xml:space="preserve">Monitoring, logging, and incident response</w:t>
            </w:r>
          </w:p>
          <w:p>
            <w:pPr>
              <w:spacing w:after="40" w:before="40"/>
            </w:pPr>
            <w:r>
              <w:rPr>
                <w:rFonts w:ascii="Calibri" w:cs="Calibri" w:eastAsia="Calibri" w:hAnsi="Calibri"/>
                <w:color w:val="1A1A1A"/>
                <w:sz w:val="18"/>
                <w:szCs w:val="18"/>
              </w:rPr>
              <w:t xml:space="preserve">Backup, recovery, and business continuity</w:t>
            </w:r>
          </w:p>
        </w:tc>
      </w:tr>
    </w:tbl>
    <w:p>
      <w:pPr>
        <w:spacing w:after="0" w:before="200"/>
      </w:pPr>
      <w:r>
        <w:t xml:space="preserve"/>
      </w:r>
    </w:p>
    <w:p>
      <w:pPr>
        <w:pBdr>
          <w:top w:val="single" w:color="2D2D2D" w:sz="6" w:space="4"/>
        </w:pBdr>
        <w:spacing w:after="80" w:before="160"/>
      </w:pPr>
      <w:r>
        <w:rPr>
          <w:rFonts w:ascii="Calibri" w:cs="Calibri" w:eastAsia="Calibri" w:hAnsi="Calibri"/>
          <w:b/>
          <w:bCs/>
          <w:color w:val="2D2D2D"/>
          <w:sz w:val="22"/>
          <w:szCs w:val="22"/>
        </w:rPr>
        <w:t xml:space="preserve">The controls exist and are operating. This plan ensures you can prove it.</w:t>
      </w:r>
    </w:p>
    <w:p>
      <w:pPr>
        <w:spacing w:after="40" w:before="40"/>
      </w:pPr>
      <w:r>
        <w:rPr>
          <w:rFonts w:ascii="Calibri" w:cs="Calibri" w:eastAsia="Calibri" w:hAnsi="Calibri"/>
          <w:color w:val="555555"/>
          <w:sz w:val="17"/>
          <w:szCs w:val="17"/>
        </w:rPr>
        <w:t xml:space="preserve">Prepared by: _______________________________     Date: _______________     Reviewed by: _______________________________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   ISO 27001 Azure Audit Readiness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2D2D" w:sz="6" w:space="4"/>
      </w:pBdr>
      <w:spacing w:after="100" w:before="0"/>
    </w:pPr>
    <w:r>
      <w:rPr>
        <w:rFonts w:ascii="Calibri" w:cs="Calibri" w:eastAsia="Calibri" w:hAnsi="Calibri"/>
        <w:b/>
        <w:bCs/>
        <w:color w:val="2D2D2D"/>
        <w:sz w:val="18"/>
        <w:szCs w:val="18"/>
      </w:rPr>
      <w:t xml:space="preserve">ISO 27001 Azure Cloud — Audit Readiness Plan</w:t>
    </w:r>
    <w:r>
      <w:rPr>
        <w:rFonts w:ascii="Calibri" w:cs="Calibri" w:eastAsia="Calibri" w:hAnsi="Calibri"/>
        <w:color w:val="555555"/>
        <w:sz w:val="18"/>
        <w:szCs w:val="18"/>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2D2D2D"/>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2026-04-23T06:51:03.691Z</dcterms:created>
  <dcterms:modified xsi:type="dcterms:W3CDTF">2026-04-23T06:51:03.692Z</dcterms:modified>
</cp:coreProperties>
</file>

<file path=docProps/custom.xml><?xml version="1.0" encoding="utf-8"?>
<Properties xmlns="http://schemas.openxmlformats.org/officeDocument/2006/custom-properties" xmlns:vt="http://schemas.openxmlformats.org/officeDocument/2006/docPropsVTypes"/>
</file>