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8C95" w14:textId="77777777" w:rsidR="00D13AF9" w:rsidRPr="00D13AF9" w:rsidRDefault="00D13AF9" w:rsidP="00D13AF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D13AF9">
        <w:rPr>
          <w:rFonts w:ascii="Times New Roman" w:eastAsia="Times New Roman" w:hAnsi="Times New Roman" w:cs="Times New Roman"/>
          <w:color w:val="374151"/>
        </w:rPr>
        <w:br/>
        <w:t>CDC Comparison </w:t>
      </w:r>
    </w:p>
    <w:p w14:paraId="3441ED32" w14:textId="77777777" w:rsidR="00D13AF9" w:rsidRPr="00D13AF9" w:rsidRDefault="00D13AF9" w:rsidP="00D13AF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D13AF9">
        <w:rPr>
          <w:rFonts w:ascii="Times New Roman" w:eastAsia="Times New Roman" w:hAnsi="Times New Roman" w:cs="Times New Roman"/>
          <w:color w:val="374151"/>
        </w:rPr>
        <w:br/>
      </w:r>
    </w:p>
    <w:p w14:paraId="6035726D" w14:textId="0FDBDB9D" w:rsidR="00D13AF9" w:rsidRPr="00D13AF9" w:rsidRDefault="00C01AFC" w:rsidP="00D13AF9">
      <w:pPr>
        <w:rPr>
          <w:rFonts w:ascii="-apple-system-font" w:eastAsia="Times New Roman" w:hAnsi="-apple-system-font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374151"/>
        </w:rPr>
        <w:t>Using High as a predictor for &gt;15 per 100k</w:t>
      </w:r>
      <w:r w:rsidR="00D13AF9" w:rsidRPr="00D13AF9">
        <w:rPr>
          <w:rFonts w:ascii="Times New Roman" w:eastAsia="Times New Roman" w:hAnsi="Times New Roman" w:cs="Times New Roman"/>
          <w:color w:val="374151"/>
        </w:rPr>
        <w:br/>
      </w:r>
    </w:p>
    <w:p w14:paraId="7D73A293" w14:textId="06334502" w:rsidR="00D13AF9" w:rsidRPr="00D13AF9" w:rsidRDefault="00D13AF9" w:rsidP="00D13AF9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D13AF9">
        <w:rPr>
          <w:rFonts w:ascii="Times New Roman" w:eastAsia="Times New Roman" w:hAnsi="Times New Roman" w:cs="Times New Roman"/>
          <w:color w:val="374151"/>
        </w:rPr>
        <w:t xml:space="preserve">Using the indicators (low, medium, and high risk of COVID-19 surges), we find that there is relatively low correlation between the predicted </w:t>
      </w:r>
      <w:r w:rsidR="00521BAD" w:rsidRPr="00D13AF9">
        <w:rPr>
          <w:rFonts w:ascii="Times New Roman" w:eastAsia="Times New Roman" w:hAnsi="Times New Roman" w:cs="Times New Roman"/>
          <w:color w:val="374151"/>
        </w:rPr>
        <w:t>probability</w:t>
      </w:r>
      <w:r w:rsidRPr="00D13AF9">
        <w:rPr>
          <w:rFonts w:ascii="Times New Roman" w:eastAsia="Times New Roman" w:hAnsi="Times New Roman" w:cs="Times New Roman"/>
          <w:color w:val="374151"/>
        </w:rPr>
        <w:t xml:space="preserve"> of exceeding hospital capacity and the actual probability. </w:t>
      </w:r>
    </w:p>
    <w:p w14:paraId="26F110D9" w14:textId="24AF5A07" w:rsidR="00E8695F" w:rsidRDefault="00D13AF9">
      <w:r>
        <w:rPr>
          <w:noProof/>
        </w:rPr>
        <w:drawing>
          <wp:inline distT="0" distB="0" distL="0" distR="0" wp14:anchorId="4137C84E" wp14:editId="24DBF0BD">
            <wp:extent cx="2933700" cy="2933700"/>
            <wp:effectExtent l="0" t="0" r="0" b="0"/>
            <wp:docPr id="154558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89755" name="Picture 15455897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1676"/>
        <w:gridCol w:w="1676"/>
        <w:gridCol w:w="1676"/>
        <w:gridCol w:w="1676"/>
        <w:gridCol w:w="1676"/>
      </w:tblGrid>
      <w:tr w:rsidR="00C01AFC" w14:paraId="068EB298" w14:textId="1CCD9A9D" w:rsidTr="00C01AFC">
        <w:tc>
          <w:tcPr>
            <w:tcW w:w="1408" w:type="dxa"/>
          </w:tcPr>
          <w:p w14:paraId="2DBD7451" w14:textId="77777777" w:rsidR="00C01AFC" w:rsidRDefault="00C01AFC"/>
        </w:tc>
        <w:tc>
          <w:tcPr>
            <w:tcW w:w="1652" w:type="dxa"/>
          </w:tcPr>
          <w:p w14:paraId="582417D3" w14:textId="25642400" w:rsidR="00C01AFC" w:rsidRDefault="00C01AFC">
            <w:r>
              <w:t>Accuracy</w:t>
            </w:r>
          </w:p>
        </w:tc>
        <w:tc>
          <w:tcPr>
            <w:tcW w:w="1685" w:type="dxa"/>
          </w:tcPr>
          <w:p w14:paraId="7BB2CFAB" w14:textId="72E6F4EA" w:rsidR="00C01AFC" w:rsidRDefault="00C01AFC">
            <w:r>
              <w:t>Sensitivity</w:t>
            </w:r>
          </w:p>
        </w:tc>
        <w:tc>
          <w:tcPr>
            <w:tcW w:w="1683" w:type="dxa"/>
          </w:tcPr>
          <w:p w14:paraId="15D5C10B" w14:textId="7E678AD2" w:rsidR="00C01AFC" w:rsidRDefault="00C01AFC">
            <w:r>
              <w:t>Specificity</w:t>
            </w:r>
          </w:p>
        </w:tc>
        <w:tc>
          <w:tcPr>
            <w:tcW w:w="1514" w:type="dxa"/>
          </w:tcPr>
          <w:p w14:paraId="445B8874" w14:textId="27CE9CC5" w:rsidR="00C01AFC" w:rsidRDefault="00C01AFC">
            <w:r>
              <w:t>PPV</w:t>
            </w:r>
          </w:p>
        </w:tc>
        <w:tc>
          <w:tcPr>
            <w:tcW w:w="1408" w:type="dxa"/>
          </w:tcPr>
          <w:p w14:paraId="16B13A60" w14:textId="1BCFCEFB" w:rsidR="00C01AFC" w:rsidRDefault="00C01AFC">
            <w:r>
              <w:t>NPV</w:t>
            </w:r>
          </w:p>
        </w:tc>
      </w:tr>
      <w:tr w:rsidR="00C01AFC" w14:paraId="2B3259F4" w14:textId="28193757" w:rsidTr="00C01AFC">
        <w:tc>
          <w:tcPr>
            <w:tcW w:w="1408" w:type="dxa"/>
          </w:tcPr>
          <w:p w14:paraId="2B662CA3" w14:textId="02FA885C" w:rsidR="00C01AFC" w:rsidRDefault="00C01AFC">
            <w:r>
              <w:t>Simple predictor</w:t>
            </w:r>
          </w:p>
        </w:tc>
        <w:tc>
          <w:tcPr>
            <w:tcW w:w="1652" w:type="dxa"/>
          </w:tcPr>
          <w:p w14:paraId="09CB44A2" w14:textId="2376270A" w:rsidR="00C01AFC" w:rsidRDefault="00666E37">
            <w:r>
              <w:rPr>
                <w:rFonts w:ascii="Menlo" w:hAnsi="Menlo" w:cs="Menlo"/>
                <w:color w:val="333333"/>
                <w:sz w:val="18"/>
                <w:szCs w:val="18"/>
              </w:rPr>
              <w:t>0.6103669190448456</w:t>
            </w:r>
          </w:p>
        </w:tc>
        <w:tc>
          <w:tcPr>
            <w:tcW w:w="1685" w:type="dxa"/>
          </w:tcPr>
          <w:p w14:paraId="56149F0A" w14:textId="76273DA5" w:rsidR="00C01AFC" w:rsidRDefault="009F2497">
            <w:r>
              <w:rPr>
                <w:rFonts w:ascii="Menlo" w:hAnsi="Menlo" w:cs="Menlo"/>
                <w:color w:val="333333"/>
                <w:sz w:val="18"/>
                <w:szCs w:val="18"/>
              </w:rPr>
              <w:t>0.4690968718466196</w:t>
            </w:r>
          </w:p>
        </w:tc>
        <w:tc>
          <w:tcPr>
            <w:tcW w:w="1683" w:type="dxa"/>
          </w:tcPr>
          <w:p w14:paraId="70263891" w14:textId="4C4FF6BF" w:rsidR="00C01AFC" w:rsidRDefault="009F2497">
            <w:r>
              <w:rPr>
                <w:rFonts w:ascii="Menlo" w:hAnsi="Menlo" w:cs="Menlo"/>
                <w:color w:val="333333"/>
                <w:sz w:val="18"/>
                <w:szCs w:val="18"/>
              </w:rPr>
              <w:t>0.8366501666835033</w:t>
            </w:r>
          </w:p>
        </w:tc>
        <w:tc>
          <w:tcPr>
            <w:tcW w:w="1514" w:type="dxa"/>
          </w:tcPr>
          <w:p w14:paraId="05550F23" w14:textId="3632585E" w:rsidR="00C01AFC" w:rsidRDefault="009F2497">
            <w:r>
              <w:rPr>
                <w:rFonts w:ascii="Menlo" w:hAnsi="Menlo" w:cs="Menlo"/>
                <w:color w:val="333333"/>
                <w:sz w:val="18"/>
                <w:szCs w:val="18"/>
              </w:rPr>
              <w:t>0.8214246272777471</w:t>
            </w:r>
          </w:p>
        </w:tc>
        <w:tc>
          <w:tcPr>
            <w:tcW w:w="1408" w:type="dxa"/>
          </w:tcPr>
          <w:p w14:paraId="6A6CBC80" w14:textId="664B1868" w:rsidR="00C01AFC" w:rsidRDefault="009F2497">
            <w:r>
              <w:rPr>
                <w:rFonts w:ascii="Menlo" w:hAnsi="Menlo" w:cs="Menlo"/>
                <w:color w:val="333333"/>
                <w:sz w:val="18"/>
                <w:szCs w:val="18"/>
              </w:rPr>
              <w:t>0.4959281437125749</w:t>
            </w:r>
          </w:p>
        </w:tc>
      </w:tr>
      <w:tr w:rsidR="00C01AFC" w14:paraId="564322DC" w14:textId="688867AB" w:rsidTr="00C01AFC">
        <w:tc>
          <w:tcPr>
            <w:tcW w:w="1408" w:type="dxa"/>
          </w:tcPr>
          <w:p w14:paraId="45B1ADDF" w14:textId="7A1715E3" w:rsidR="00C01AFC" w:rsidRDefault="00C01AFC">
            <w:r>
              <w:t>Optimized decision tree</w:t>
            </w:r>
          </w:p>
        </w:tc>
        <w:tc>
          <w:tcPr>
            <w:tcW w:w="1652" w:type="dxa"/>
          </w:tcPr>
          <w:p w14:paraId="4C6821BF" w14:textId="019276FC" w:rsidR="00C01AFC" w:rsidRDefault="00877760">
            <w:r>
              <w:rPr>
                <w:rFonts w:ascii="Menlo" w:hAnsi="Menlo" w:cs="Menlo"/>
                <w:color w:val="333333"/>
                <w:sz w:val="18"/>
                <w:szCs w:val="18"/>
              </w:rPr>
              <w:t>0.7250375195580675</w:t>
            </w:r>
          </w:p>
        </w:tc>
        <w:tc>
          <w:tcPr>
            <w:tcW w:w="1685" w:type="dxa"/>
          </w:tcPr>
          <w:p w14:paraId="51E37F24" w14:textId="7F9ADE57" w:rsidR="00C01AFC" w:rsidRDefault="00877760">
            <w:r>
              <w:rPr>
                <w:rFonts w:ascii="Menlo" w:hAnsi="Menlo" w:cs="Menlo"/>
                <w:color w:val="333333"/>
                <w:sz w:val="18"/>
                <w:szCs w:val="18"/>
              </w:rPr>
              <w:t>0.7437658653128266</w:t>
            </w:r>
          </w:p>
        </w:tc>
        <w:tc>
          <w:tcPr>
            <w:tcW w:w="1683" w:type="dxa"/>
          </w:tcPr>
          <w:p w14:paraId="1F91715B" w14:textId="06A9A4F6" w:rsidR="00C01AFC" w:rsidRDefault="00877760">
            <w:r>
              <w:rPr>
                <w:rFonts w:ascii="Menlo" w:hAnsi="Menlo" w:cs="Menlo"/>
                <w:color w:val="333333"/>
                <w:sz w:val="18"/>
                <w:szCs w:val="18"/>
              </w:rPr>
              <w:t>0.6915196864421878</w:t>
            </w:r>
          </w:p>
        </w:tc>
        <w:tc>
          <w:tcPr>
            <w:tcW w:w="1514" w:type="dxa"/>
          </w:tcPr>
          <w:p w14:paraId="29B66B67" w14:textId="5071E5D1" w:rsidR="00C01AFC" w:rsidRDefault="00877760">
            <w:r>
              <w:rPr>
                <w:rFonts w:ascii="Menlo" w:hAnsi="Menlo" w:cs="Menlo"/>
                <w:color w:val="333333"/>
                <w:sz w:val="18"/>
                <w:szCs w:val="18"/>
              </w:rPr>
              <w:t>0.8118548299467565</w:t>
            </w:r>
          </w:p>
        </w:tc>
        <w:tc>
          <w:tcPr>
            <w:tcW w:w="1408" w:type="dxa"/>
          </w:tcPr>
          <w:p w14:paraId="53FDFDE9" w14:textId="5D0B1CFC" w:rsidR="00C01AFC" w:rsidRDefault="00877760">
            <w:r>
              <w:rPr>
                <w:rFonts w:ascii="Menlo" w:hAnsi="Menlo" w:cs="Menlo"/>
                <w:color w:val="333333"/>
                <w:sz w:val="18"/>
                <w:szCs w:val="18"/>
              </w:rPr>
              <w:t>0.6012702346836031</w:t>
            </w:r>
          </w:p>
        </w:tc>
      </w:tr>
      <w:tr w:rsidR="00C01AFC" w14:paraId="0D8B8B93" w14:textId="5202B7F9" w:rsidTr="00C01AFC">
        <w:tc>
          <w:tcPr>
            <w:tcW w:w="1408" w:type="dxa"/>
          </w:tcPr>
          <w:p w14:paraId="689D46F5" w14:textId="77777777" w:rsidR="00C01AFC" w:rsidRDefault="00C01AFC"/>
        </w:tc>
        <w:tc>
          <w:tcPr>
            <w:tcW w:w="1652" w:type="dxa"/>
          </w:tcPr>
          <w:p w14:paraId="74B81A90" w14:textId="77777777" w:rsidR="00C01AFC" w:rsidRDefault="00C01AFC"/>
        </w:tc>
        <w:tc>
          <w:tcPr>
            <w:tcW w:w="1685" w:type="dxa"/>
          </w:tcPr>
          <w:p w14:paraId="55E0064A" w14:textId="77777777" w:rsidR="00C01AFC" w:rsidRDefault="00C01AFC"/>
        </w:tc>
        <w:tc>
          <w:tcPr>
            <w:tcW w:w="1683" w:type="dxa"/>
          </w:tcPr>
          <w:p w14:paraId="0E5E2804" w14:textId="77777777" w:rsidR="00C01AFC" w:rsidRDefault="00C01AFC"/>
        </w:tc>
        <w:tc>
          <w:tcPr>
            <w:tcW w:w="1514" w:type="dxa"/>
          </w:tcPr>
          <w:p w14:paraId="4D31E0D8" w14:textId="77777777" w:rsidR="00C01AFC" w:rsidRDefault="00C01AFC"/>
        </w:tc>
        <w:tc>
          <w:tcPr>
            <w:tcW w:w="1408" w:type="dxa"/>
          </w:tcPr>
          <w:p w14:paraId="4D58AD9D" w14:textId="77777777" w:rsidR="00C01AFC" w:rsidRDefault="00C01AFC"/>
        </w:tc>
      </w:tr>
      <w:tr w:rsidR="00C01AFC" w14:paraId="2005517C" w14:textId="5E0937ED" w:rsidTr="00C01AFC">
        <w:tc>
          <w:tcPr>
            <w:tcW w:w="1408" w:type="dxa"/>
          </w:tcPr>
          <w:p w14:paraId="3D76365B" w14:textId="77777777" w:rsidR="00C01AFC" w:rsidRDefault="00C01AFC"/>
        </w:tc>
        <w:tc>
          <w:tcPr>
            <w:tcW w:w="1652" w:type="dxa"/>
          </w:tcPr>
          <w:p w14:paraId="7B10247C" w14:textId="77777777" w:rsidR="00C01AFC" w:rsidRDefault="00C01AFC"/>
        </w:tc>
        <w:tc>
          <w:tcPr>
            <w:tcW w:w="1685" w:type="dxa"/>
          </w:tcPr>
          <w:p w14:paraId="3554AAAC" w14:textId="77777777" w:rsidR="00C01AFC" w:rsidRDefault="00C01AFC"/>
        </w:tc>
        <w:tc>
          <w:tcPr>
            <w:tcW w:w="1683" w:type="dxa"/>
          </w:tcPr>
          <w:p w14:paraId="0C246B9E" w14:textId="77777777" w:rsidR="00C01AFC" w:rsidRDefault="00C01AFC"/>
        </w:tc>
        <w:tc>
          <w:tcPr>
            <w:tcW w:w="1514" w:type="dxa"/>
          </w:tcPr>
          <w:p w14:paraId="6C414BC9" w14:textId="77777777" w:rsidR="00C01AFC" w:rsidRDefault="00C01AFC"/>
        </w:tc>
        <w:tc>
          <w:tcPr>
            <w:tcW w:w="1408" w:type="dxa"/>
          </w:tcPr>
          <w:p w14:paraId="22B35B69" w14:textId="77777777" w:rsidR="00C01AFC" w:rsidRDefault="00C01AFC"/>
        </w:tc>
      </w:tr>
    </w:tbl>
    <w:p w14:paraId="761D9070" w14:textId="5C739FD7" w:rsidR="00D13AF9" w:rsidRDefault="00D13AF9"/>
    <w:p w14:paraId="5AC7DD8F" w14:textId="408BAAB7" w:rsidR="00C01AFC" w:rsidRDefault="00C01AFC"/>
    <w:p w14:paraId="4920FA4F" w14:textId="77777777" w:rsidR="00C01AFC" w:rsidRDefault="00C01AFC"/>
    <w:p w14:paraId="2573F798" w14:textId="6CEE4BA5" w:rsidR="00D13AF9" w:rsidRDefault="00D13AF9"/>
    <w:p w14:paraId="0CD8F972" w14:textId="589721E8" w:rsidR="00D13AF9" w:rsidRDefault="00D13AF9">
      <w:r>
        <w:t>If we use the raw data, rather than the converted metrics</w:t>
      </w:r>
      <w:r w:rsidR="00521BAD">
        <w:t xml:space="preserve">, we can optimize a decision tree ourselves: </w:t>
      </w:r>
    </w:p>
    <w:p w14:paraId="38FCA78F" w14:textId="6B79E510" w:rsidR="0096019F" w:rsidRDefault="0096019F">
      <w:r>
        <w:rPr>
          <w:noProof/>
        </w:rPr>
        <w:lastRenderedPageBreak/>
        <w:drawing>
          <wp:inline distT="0" distB="0" distL="0" distR="0" wp14:anchorId="3E557CDE" wp14:editId="3A52EA04">
            <wp:extent cx="3977640" cy="2983230"/>
            <wp:effectExtent l="0" t="0" r="0" b="1270"/>
            <wp:docPr id="1015719328" name="Picture 1" descr="A diagram of a number of sam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19328" name="Picture 1" descr="A diagram of a number of samp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F4F3" w14:textId="4426EE43" w:rsidR="00521BAD" w:rsidRDefault="00521BAD"/>
    <w:p w14:paraId="248F4DF8" w14:textId="77777777" w:rsidR="00521BAD" w:rsidRDefault="00521BAD"/>
    <w:sectPr w:rsidR="0052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Menlo">
    <w:altName w:val="Leelawadee U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9"/>
    <w:rsid w:val="004A23AA"/>
    <w:rsid w:val="00521BAD"/>
    <w:rsid w:val="00666E37"/>
    <w:rsid w:val="00681818"/>
    <w:rsid w:val="00877760"/>
    <w:rsid w:val="0096019F"/>
    <w:rsid w:val="009F2497"/>
    <w:rsid w:val="00AD0DCE"/>
    <w:rsid w:val="00BD2E3B"/>
    <w:rsid w:val="00C01AFC"/>
    <w:rsid w:val="00D13AF9"/>
    <w:rsid w:val="00E8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A4AFF"/>
  <w15:chartTrackingRefBased/>
  <w15:docId w15:val="{52486529-AD00-F448-8D28-87105627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Murray-Watson, Rachel</dc:creator>
  <cp:keywords/>
  <dc:description/>
  <cp:lastModifiedBy>Murray-Watson, Rachel</cp:lastModifiedBy>
  <cp:revision>3</cp:revision>
  <dcterms:created xsi:type="dcterms:W3CDTF">2023-07-28T13:17:00Z</dcterms:created>
  <dcterms:modified xsi:type="dcterms:W3CDTF">2023-08-02T23:15:00Z</dcterms:modified>
</cp:coreProperties>
</file>