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9F22C1" w:rsidP="00CA2988">
      <w:pPr>
        <w:pStyle w:val="PARAIndent"/>
      </w:pPr>
      <w:r>
        <w:t>Machine</w:t>
      </w:r>
      <w:r w:rsidR="00CA2988">
        <w:t xml:space="preserve"> learning method</w:t>
      </w:r>
      <w:r w:rsidR="00BE28E1">
        <w:t>s, on the other hand,</w:t>
      </w:r>
      <w:r w:rsidR="00CA2988">
        <w:t xml:space="preserve"> ha</w:t>
      </w:r>
      <w:r w:rsidR="00BE28E1">
        <w:t>ve</w:t>
      </w:r>
      <w:r w:rsidR="00CA2988">
        <w:t xml:space="preserve"> been picking up attentions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w:t>
      </w:r>
      <w:r w:rsidR="00B55A3C">
        <w:t xml:space="preserve"> and</w:t>
      </w:r>
      <w:r w:rsidR="006D69CB">
        <w:t xml:space="preserve"> is</w:t>
      </w:r>
      <w:r w:rsidR="00B55A3C">
        <w:t xml:space="preserve"> free of statistical assumptions.</w:t>
      </w:r>
      <w:r w:rsidR="006D69CB">
        <w:t xml:space="preserve"> </w:t>
      </w:r>
      <w:r w:rsidR="00653ACD">
        <w:t xml:space="preserve"> </w:t>
      </w:r>
    </w:p>
    <w:p w:rsidR="00A44937" w:rsidRDefault="00CA2988"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A44937">
      <w:pPr>
        <w:pStyle w:val="PARAIndent"/>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6D69CB" w:rsidRDefault="006D69CB"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takeaway from the empirical study and discusses the implication in both academia and the industry. </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802847"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802847"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581F49"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802847"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802847"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lastRenderedPageBreak/>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3C4EA9"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E2129D"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E2129D"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 j</m:t>
        </m:r>
      </m:oMath>
      <w:r w:rsidR="002359F8">
        <w:rPr>
          <w:rFonts w:cs="Times New Roman"/>
          <w:sz w:val="18"/>
          <w:szCs w:val="18"/>
        </w:rPr>
        <w:t xml:space="preserve">th </w:t>
      </w:r>
      <w:proofErr w:type="gramStart"/>
      <w:r w:rsidR="002359F8">
        <w:rPr>
          <w:rFonts w:cs="Times New Roman"/>
          <w:sz w:val="18"/>
          <w:szCs w:val="18"/>
        </w:rPr>
        <w:t>region.</w:t>
      </w:r>
      <w:proofErr w:type="gramEnd"/>
      <w:r w:rsidR="002359F8">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FE05F8"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hyperplanes to divide features into various spaces. The </w:t>
      </w:r>
      <w:r w:rsidR="008D6FA6">
        <w:rPr>
          <w:rFonts w:cs="Times New Roman"/>
        </w:rPr>
        <w:lastRenderedPageBreak/>
        <w:t xml:space="preserve">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3C4EA9" w:rsidRPr="003C4EA9" w:rsidRDefault="003C4EA9" w:rsidP="00CA2988">
      <w:pPr>
        <w:pStyle w:val="PARAIndent"/>
        <w:rPr>
          <w:rFonts w:cs="Times New Roman"/>
        </w:rPr>
      </w:pPr>
    </w:p>
    <w:p w:rsidR="00CA2988" w:rsidRPr="003C4EA9" w:rsidRDefault="00CA2988" w:rsidP="003C4EA9">
      <w:pPr>
        <w:pStyle w:val="PARAIndent"/>
        <w:rPr>
          <w:rFonts w:cs="Times New Roman"/>
        </w:rPr>
      </w:pPr>
    </w:p>
    <w:p w:rsidR="008D6FA6" w:rsidRDefault="008D6FA6" w:rsidP="008D6FA6">
      <w:pPr>
        <w:pStyle w:val="TableTitle"/>
      </w:pPr>
      <w:r>
        <w:t xml:space="preserve">TABLE </w:t>
      </w:r>
      <w:r w:rsidR="00376772">
        <w:t>1</w:t>
      </w:r>
    </w:p>
    <w:p w:rsidR="008D6FA6" w:rsidRDefault="008D6FA6" w:rsidP="008D6FA6">
      <w:pPr>
        <w:pStyle w:val="TableTitle"/>
      </w:pPr>
      <w:r>
        <w:t>Properties of Machine Learning Models</w:t>
      </w: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376772"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t xml:space="preserve">The whole dataset has booking record of 370 consecutive days with ROHs on 12 DBAs and the DOW of the arrival date. </w:t>
      </w:r>
      <w:r>
        <w:lastRenderedPageBreak/>
        <w:t>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460A89" w:rsidRPr="00460A89" w:rsidRDefault="00A75C80" w:rsidP="003C3D65">
      <w:pPr>
        <w:pStyle w:val="PARAIndent"/>
      </w:pPr>
      <w:r>
        <w:t xml:space="preserve">To better understand the compatibility of various models, we design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 xml:space="preserve">). The experiments are designed to test the performances of the above models within the following relationships: </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DE0E3E"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Pr="00460A89">
        <w:t xml:space="preserve"> represents pick-up methods and 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460A89"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Same cross validation was applied on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C24FC8" w:rsidP="00460A89">
      <w:pPr>
        <w:pStyle w:val="PARAIndent"/>
      </w:pPr>
      <w:r>
        <w:t xml:space="preserve">No additional pre-processing </w:t>
      </w:r>
      <w:r w:rsidR="00073848">
        <w:t xml:space="preserve">is needed for decision tree model. </w:t>
      </w:r>
      <w:r w:rsidR="00460A89" w:rsidRPr="00460A89">
        <w:t xml:space="preserve">For random forest, a 10-fold cross 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each single tree, and that </w:t>
      </w:r>
      <w:r w:rsidR="00656A16">
        <w:t xml:space="preserve">parameter is different pruned for </w:t>
      </w:r>
      <w:r w:rsidR="00656A16" w:rsidRPr="002E65F7">
        <w:rPr>
          <w:highlight w:val="yellow"/>
        </w:rPr>
        <w:t>experiment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460A89"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D667B1" w:rsidRDefault="00460A89" w:rsidP="00460A89">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p>
    <w:p w:rsidR="00675E82" w:rsidRDefault="00460A89" w:rsidP="00675E82">
      <w:pPr>
        <w:pStyle w:val="PARAIndent"/>
      </w:pPr>
      <w:r w:rsidRPr="00460A89">
        <w:t>The ME and MPE are used to describe the biases of the models.</w:t>
      </w:r>
      <w:r w:rsidR="007A206F">
        <w:t xml:space="preserve"> 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biasness of models since it plays a significant role in dynamic pricing. If a model tend</w:t>
      </w:r>
      <w:r w:rsidR="002E65F7">
        <w:t>s</w:t>
      </w:r>
      <w:r w:rsidR="00D667B1">
        <w:t xml:space="preserve"> to underestimate the demand, more tuning actions are needed in the pricing stage. MAE and MAPE are common metric to measure the prediction accuracy of models. By using absolute values, the metrics </w:t>
      </w:r>
    </w:p>
    <w:p w:rsidR="00460A89" w:rsidRPr="00460A89" w:rsidRDefault="00040333" w:rsidP="00460A89">
      <w:pPr>
        <w:pStyle w:val="PARAIndent"/>
      </w:pPr>
      <w:r>
        <w:t xml:space="preserve">For experiment 1 where only the newest ROH and DOW information is used to build the model, the results are </w:t>
      </w:r>
      <w:r w:rsidR="005E60F5">
        <w:t xml:space="preserve">listed in </w:t>
      </w:r>
      <w:r w:rsidR="005E60F5" w:rsidRPr="005E60F5">
        <w:rPr>
          <w:highlight w:val="cyan"/>
        </w:rPr>
        <w:lastRenderedPageBreak/>
        <w:t>Table X.</w:t>
      </w:r>
      <w:r w:rsidR="005E60F5">
        <w:t xml:space="preserve"> </w:t>
      </w:r>
      <w:r w:rsidR="00460A89" w:rsidRPr="00460A89">
        <w:t>Except for Multiplicative Pickup and Neural Network models, all of the models have positive average mean errors, which means they tend to overestimate the demand. All models have mean errors within the range of (-2, 2) and mean percentage error from +-10</w:t>
      </w:r>
      <w:r w:rsidRPr="00460A89">
        <w:t>%</w:t>
      </w:r>
      <w:r w:rsidRPr="002E65F7">
        <w:rPr>
          <w:highlight w:val="yellow"/>
        </w:rPr>
        <w:t>.</w:t>
      </w:r>
    </w:p>
    <w:p w:rsidR="00460A89" w:rsidRPr="00460A89" w:rsidRDefault="00460A89" w:rsidP="00460A89">
      <w:pPr>
        <w:pStyle w:val="PARAIndent"/>
      </w:pPr>
      <w:r w:rsidRPr="00460A89">
        <w:t xml:space="preserve">The MAE and MAPE columns show the accuracy of models. As seen from the table, Support Vector Regression results in the lowest MAE of 5.06 and the lowest MAPE of 0.126. Random Forest </w:t>
      </w:r>
    </w:p>
    <w:p w:rsidR="00460A89" w:rsidRPr="00460A89" w:rsidRDefault="00460A89" w:rsidP="00460A89">
      <w:pPr>
        <w:pStyle w:val="PARAIndent"/>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For instance, the Support Vector Regression model in this current research tested for kernel shape to narrow down the optimal shape first, then it tested five </w:t>
      </w:r>
      <m:oMath>
        <m:r>
          <w:rPr>
            <w:rFonts w:ascii="Cambria Math" w:hAnsi="Cambria Math"/>
          </w:rPr>
          <m:t>γ</m:t>
        </m:r>
      </m:oMath>
      <w:r w:rsidRPr="00460A89">
        <w:t xml:space="preserve"> values</w:t>
      </w:r>
      <w:r w:rsidRPr="00460A89">
        <w:rPr>
          <w:highlight w:val="yellow"/>
        </w:rPr>
        <w:t>. low gamma value, far reach, lower weight to the near-boundary vectors, more linear; vice versa.</w:t>
      </w:r>
      <w:r w:rsidRPr="00460A89">
        <w:t xml:space="preserve"> </w:t>
      </w:r>
    </w:p>
    <w:p w:rsidR="00460A89" w:rsidRPr="00460A89" w:rsidRDefault="00460A89" w:rsidP="00460A89">
      <w:pPr>
        <w:pStyle w:val="PARAIndent"/>
      </w:pPr>
      <w:r w:rsidRPr="00460A89">
        <w:t xml:space="preserve">An important question is whether machine learning based models are robust to hotel demand forecasting. We conduct a sensitivity analysis with a different randomly selected dataset. As in Table A shows, </w:t>
      </w:r>
      <w:r w:rsidRPr="00460A89">
        <w:rPr>
          <w:highlight w:val="yellow"/>
        </w:rPr>
        <w:t>the results in either errors, variance or time consumed are mostly similar. The only difference is … Finally,</w:t>
      </w:r>
      <w:r w:rsidRPr="00460A89">
        <w:t xml:space="preserve"> </w:t>
      </w:r>
    </w:p>
    <w:p w:rsidR="00460A89" w:rsidRPr="00460A89" w:rsidRDefault="00460A89" w:rsidP="00460A89">
      <w:pPr>
        <w:pStyle w:val="PARAIndent"/>
      </w:pPr>
      <w:r w:rsidRPr="00460A89">
        <w:t xml:space="preserve">for KNN: the longer the forecasting window, the larger the chosen K value - makes sense, since less information is given. </w:t>
      </w:r>
    </w:p>
    <w:p w:rsidR="003C3D65" w:rsidRDefault="003C3D65" w:rsidP="00460A89">
      <w:pPr>
        <w:pStyle w:val="H1NoSpace"/>
      </w:pPr>
    </w:p>
    <w:p w:rsidR="00460A89" w:rsidRDefault="00460A89" w:rsidP="00460A89">
      <w:pPr>
        <w:pStyle w:val="H1NoSpace"/>
      </w:pPr>
      <w:r>
        <w:t>CONCLUSIONS AND DISCUSSIONS</w:t>
      </w:r>
    </w:p>
    <w:p w:rsidR="009E6EE0" w:rsidRPr="009E6EE0" w:rsidRDefault="009E6EE0" w:rsidP="009E6EE0">
      <w:pPr>
        <w:pStyle w:val="PARAIndent"/>
      </w:pPr>
      <w:r w:rsidRPr="009E6EE0">
        <w:t xml:space="preserve">On average, pick up models embedded with machine learning approaches were shown to have higher accuracy than classic pick up models.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r w:rsidR="00287705">
        <w:t xml:space="preserve">In this empirical study, we are not able to perform complicated cross validation and merely chooses model parameters by general rules.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D6550C" w:rsidRDefault="00D6550C" w:rsidP="00D6550C">
      <w:pPr>
        <w:pStyle w:val="PARAIndent"/>
      </w:pPr>
      <w:r w:rsidRPr="00D6550C">
        <w:fldChar w:fldCharType="end"/>
      </w:r>
    </w:p>
    <w:p w:rsidR="00460A89" w:rsidRDefault="00460A89" w:rsidP="00460A89">
      <w:pPr>
        <w:pStyle w:val="PARA"/>
        <w:rPr>
          <w:rFonts w:ascii="Helvetica" w:hAnsi="Helvetica" w:cs="FormataOTFMdIt"/>
          <w:bCs/>
          <w:i/>
          <w:color w:val="58595B"/>
          <w:spacing w:val="0"/>
          <w:sz w:val="18"/>
          <w:szCs w:val="18"/>
        </w:rPr>
      </w:pPr>
    </w:p>
    <w:p w:rsidR="00460A89" w:rsidRPr="00460A89" w:rsidRDefault="00460A89" w:rsidP="00460A89">
      <w:pPr>
        <w:pStyle w:val="PARAIndent"/>
      </w:pPr>
    </w:p>
    <w:p w:rsidR="00460A89" w:rsidRPr="00460A89" w:rsidRDefault="00460A89" w:rsidP="00460A89">
      <w:pPr>
        <w:pStyle w:val="PARA"/>
        <w:rPr>
          <w:rFonts w:ascii="Helvetica" w:hAnsi="Helvetica" w:cs="FormataOTFMdIt"/>
          <w:bCs/>
          <w:iCs/>
          <w:color w:val="58595B"/>
          <w:spacing w:val="0"/>
          <w:sz w:val="18"/>
          <w:szCs w:val="18"/>
        </w:rPr>
      </w:pPr>
    </w:p>
    <w:p w:rsidR="00CA2988" w:rsidRPr="003C4EA9" w:rsidRDefault="00CA2988" w:rsidP="003C4EA9">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Default="00CA2988" w:rsidP="00CA2988">
      <w:pPr>
        <w:pStyle w:val="PARA"/>
      </w:pPr>
    </w:p>
    <w:p w:rsidR="00460A89" w:rsidRDefault="00460A89">
      <w:pPr>
        <w:rPr>
          <w:rFonts w:cs="TimesLTStd-Roman"/>
          <w:spacing w:val="-2"/>
          <w:sz w:val="20"/>
          <w:szCs w:val="20"/>
        </w:rPr>
      </w:pPr>
    </w:p>
    <w:sectPr w:rsidR="00460A89" w:rsidSect="00422716">
      <w:footerReference w:type="default" r:id="rId1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5602" w:rsidRDefault="00595602">
      <w:r>
        <w:separator/>
      </w:r>
    </w:p>
  </w:endnote>
  <w:endnote w:type="continuationSeparator" w:id="0">
    <w:p w:rsidR="00595602" w:rsidRDefault="0059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847" w:rsidRPr="00B979BB" w:rsidRDefault="00802847"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847" w:rsidRPr="00B979BB" w:rsidRDefault="00802847"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5602" w:rsidRDefault="00595602">
      <w:r>
        <w:separator/>
      </w:r>
    </w:p>
  </w:footnote>
  <w:footnote w:type="continuationSeparator" w:id="0">
    <w:p w:rsidR="00595602" w:rsidRDefault="00595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847" w:rsidRPr="00E721A9" w:rsidRDefault="00802847"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369D"/>
    <w:rsid w:val="00065CD5"/>
    <w:rsid w:val="000714C3"/>
    <w:rsid w:val="00073848"/>
    <w:rsid w:val="00083EC4"/>
    <w:rsid w:val="00084BD2"/>
    <w:rsid w:val="00090E84"/>
    <w:rsid w:val="00091F92"/>
    <w:rsid w:val="00092C74"/>
    <w:rsid w:val="00094BAA"/>
    <w:rsid w:val="00097307"/>
    <w:rsid w:val="000A1FA2"/>
    <w:rsid w:val="000A3B16"/>
    <w:rsid w:val="000A40E6"/>
    <w:rsid w:val="000B2C18"/>
    <w:rsid w:val="000B330B"/>
    <w:rsid w:val="000B7135"/>
    <w:rsid w:val="000C01F4"/>
    <w:rsid w:val="000C0E3B"/>
    <w:rsid w:val="000C221B"/>
    <w:rsid w:val="000D3A5A"/>
    <w:rsid w:val="000D4A20"/>
    <w:rsid w:val="000E4447"/>
    <w:rsid w:val="000F25D7"/>
    <w:rsid w:val="0010090B"/>
    <w:rsid w:val="00104663"/>
    <w:rsid w:val="00104AAD"/>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4743"/>
    <w:rsid w:val="00175E6E"/>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660C"/>
    <w:rsid w:val="002170E6"/>
    <w:rsid w:val="00220965"/>
    <w:rsid w:val="00223B9B"/>
    <w:rsid w:val="00227DAA"/>
    <w:rsid w:val="00231E14"/>
    <w:rsid w:val="002359F8"/>
    <w:rsid w:val="00241628"/>
    <w:rsid w:val="00241C49"/>
    <w:rsid w:val="00242C14"/>
    <w:rsid w:val="002467D5"/>
    <w:rsid w:val="00252416"/>
    <w:rsid w:val="00253CFC"/>
    <w:rsid w:val="002560D8"/>
    <w:rsid w:val="00275282"/>
    <w:rsid w:val="0028303E"/>
    <w:rsid w:val="00285B40"/>
    <w:rsid w:val="00285DD4"/>
    <w:rsid w:val="00287705"/>
    <w:rsid w:val="00294F1C"/>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E65F7"/>
    <w:rsid w:val="002F1879"/>
    <w:rsid w:val="002F1D45"/>
    <w:rsid w:val="002F3420"/>
    <w:rsid w:val="002F63A1"/>
    <w:rsid w:val="00304392"/>
    <w:rsid w:val="00313105"/>
    <w:rsid w:val="003141B6"/>
    <w:rsid w:val="00321775"/>
    <w:rsid w:val="00321EB5"/>
    <w:rsid w:val="00322DAA"/>
    <w:rsid w:val="00323884"/>
    <w:rsid w:val="00323E56"/>
    <w:rsid w:val="00327067"/>
    <w:rsid w:val="00327078"/>
    <w:rsid w:val="00330A48"/>
    <w:rsid w:val="00336F3D"/>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BE6"/>
    <w:rsid w:val="003A0AEE"/>
    <w:rsid w:val="003A0B4F"/>
    <w:rsid w:val="003A7420"/>
    <w:rsid w:val="003A75E8"/>
    <w:rsid w:val="003B2723"/>
    <w:rsid w:val="003B3FFE"/>
    <w:rsid w:val="003C1744"/>
    <w:rsid w:val="003C3D65"/>
    <w:rsid w:val="003C4EA9"/>
    <w:rsid w:val="003C615D"/>
    <w:rsid w:val="003D0501"/>
    <w:rsid w:val="003D112E"/>
    <w:rsid w:val="003D12A0"/>
    <w:rsid w:val="003D1A98"/>
    <w:rsid w:val="003D3FE2"/>
    <w:rsid w:val="003D4E93"/>
    <w:rsid w:val="003D640F"/>
    <w:rsid w:val="003D7316"/>
    <w:rsid w:val="003E17F3"/>
    <w:rsid w:val="003F00F5"/>
    <w:rsid w:val="003F13BC"/>
    <w:rsid w:val="003F7D7E"/>
    <w:rsid w:val="00402953"/>
    <w:rsid w:val="00410A00"/>
    <w:rsid w:val="0041108E"/>
    <w:rsid w:val="004127AE"/>
    <w:rsid w:val="0041399D"/>
    <w:rsid w:val="00417315"/>
    <w:rsid w:val="00420CA6"/>
    <w:rsid w:val="00422716"/>
    <w:rsid w:val="004409C3"/>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72EC"/>
    <w:rsid w:val="00477BF4"/>
    <w:rsid w:val="0048195D"/>
    <w:rsid w:val="00482836"/>
    <w:rsid w:val="00482B9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1441"/>
    <w:rsid w:val="004F105E"/>
    <w:rsid w:val="004F2C2F"/>
    <w:rsid w:val="004F7211"/>
    <w:rsid w:val="004F7EAC"/>
    <w:rsid w:val="00500D8B"/>
    <w:rsid w:val="00504A78"/>
    <w:rsid w:val="00505244"/>
    <w:rsid w:val="005065D2"/>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4FC7"/>
    <w:rsid w:val="00566CE5"/>
    <w:rsid w:val="005722AA"/>
    <w:rsid w:val="005762F3"/>
    <w:rsid w:val="00577FB4"/>
    <w:rsid w:val="00581E03"/>
    <w:rsid w:val="00581F49"/>
    <w:rsid w:val="00583985"/>
    <w:rsid w:val="005842B4"/>
    <w:rsid w:val="00587CF1"/>
    <w:rsid w:val="0059062E"/>
    <w:rsid w:val="00593176"/>
    <w:rsid w:val="00594006"/>
    <w:rsid w:val="00594D78"/>
    <w:rsid w:val="00594F41"/>
    <w:rsid w:val="00595602"/>
    <w:rsid w:val="00596126"/>
    <w:rsid w:val="005A11DA"/>
    <w:rsid w:val="005A59C2"/>
    <w:rsid w:val="005A5B4F"/>
    <w:rsid w:val="005A6FCB"/>
    <w:rsid w:val="005A7F6C"/>
    <w:rsid w:val="005B03B9"/>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E60F5"/>
    <w:rsid w:val="005F36BF"/>
    <w:rsid w:val="005F7D12"/>
    <w:rsid w:val="00604D84"/>
    <w:rsid w:val="0060727F"/>
    <w:rsid w:val="00607722"/>
    <w:rsid w:val="006130A7"/>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70377"/>
    <w:rsid w:val="00675E82"/>
    <w:rsid w:val="006772E7"/>
    <w:rsid w:val="00680E60"/>
    <w:rsid w:val="00687034"/>
    <w:rsid w:val="006873AA"/>
    <w:rsid w:val="006874AA"/>
    <w:rsid w:val="006920B0"/>
    <w:rsid w:val="00692183"/>
    <w:rsid w:val="006932A5"/>
    <w:rsid w:val="006934C7"/>
    <w:rsid w:val="006964EE"/>
    <w:rsid w:val="006A0B53"/>
    <w:rsid w:val="006A190F"/>
    <w:rsid w:val="006A3523"/>
    <w:rsid w:val="006A4268"/>
    <w:rsid w:val="006B0525"/>
    <w:rsid w:val="006B24AE"/>
    <w:rsid w:val="006B6C9F"/>
    <w:rsid w:val="006C2A2F"/>
    <w:rsid w:val="006C599B"/>
    <w:rsid w:val="006D02FC"/>
    <w:rsid w:val="006D096B"/>
    <w:rsid w:val="006D1C2A"/>
    <w:rsid w:val="006D2063"/>
    <w:rsid w:val="006D2F5B"/>
    <w:rsid w:val="006D446E"/>
    <w:rsid w:val="006D4A1A"/>
    <w:rsid w:val="006D69CB"/>
    <w:rsid w:val="006D6A18"/>
    <w:rsid w:val="006D6BB5"/>
    <w:rsid w:val="006D7BFC"/>
    <w:rsid w:val="006F6F42"/>
    <w:rsid w:val="0070502C"/>
    <w:rsid w:val="00705D87"/>
    <w:rsid w:val="007074FD"/>
    <w:rsid w:val="0070798C"/>
    <w:rsid w:val="00720592"/>
    <w:rsid w:val="00721E50"/>
    <w:rsid w:val="00722FB0"/>
    <w:rsid w:val="00723860"/>
    <w:rsid w:val="007268F5"/>
    <w:rsid w:val="00731792"/>
    <w:rsid w:val="00732067"/>
    <w:rsid w:val="0074666A"/>
    <w:rsid w:val="00754771"/>
    <w:rsid w:val="007573E5"/>
    <w:rsid w:val="00757A59"/>
    <w:rsid w:val="00765478"/>
    <w:rsid w:val="00765EFC"/>
    <w:rsid w:val="00767D54"/>
    <w:rsid w:val="00777554"/>
    <w:rsid w:val="00777FC6"/>
    <w:rsid w:val="0078331C"/>
    <w:rsid w:val="00785008"/>
    <w:rsid w:val="00786FBC"/>
    <w:rsid w:val="007908A3"/>
    <w:rsid w:val="00791AA8"/>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44F5"/>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310FF"/>
    <w:rsid w:val="00833C2D"/>
    <w:rsid w:val="00845327"/>
    <w:rsid w:val="0084556B"/>
    <w:rsid w:val="0084716E"/>
    <w:rsid w:val="00853F30"/>
    <w:rsid w:val="008540B3"/>
    <w:rsid w:val="0085574D"/>
    <w:rsid w:val="00855E21"/>
    <w:rsid w:val="00856CFF"/>
    <w:rsid w:val="0086016B"/>
    <w:rsid w:val="00860963"/>
    <w:rsid w:val="008612B0"/>
    <w:rsid w:val="00864000"/>
    <w:rsid w:val="0086403E"/>
    <w:rsid w:val="00865D5B"/>
    <w:rsid w:val="008773E5"/>
    <w:rsid w:val="00881AEC"/>
    <w:rsid w:val="00887BB0"/>
    <w:rsid w:val="0089022F"/>
    <w:rsid w:val="008A05F2"/>
    <w:rsid w:val="008A240F"/>
    <w:rsid w:val="008B116A"/>
    <w:rsid w:val="008B44B3"/>
    <w:rsid w:val="008B46A7"/>
    <w:rsid w:val="008B5F7B"/>
    <w:rsid w:val="008B7348"/>
    <w:rsid w:val="008C075C"/>
    <w:rsid w:val="008C093B"/>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22C1"/>
    <w:rsid w:val="009F4313"/>
    <w:rsid w:val="009F494B"/>
    <w:rsid w:val="00A009EA"/>
    <w:rsid w:val="00A07761"/>
    <w:rsid w:val="00A12D02"/>
    <w:rsid w:val="00A139C5"/>
    <w:rsid w:val="00A17980"/>
    <w:rsid w:val="00A179A1"/>
    <w:rsid w:val="00A21E33"/>
    <w:rsid w:val="00A21E81"/>
    <w:rsid w:val="00A25047"/>
    <w:rsid w:val="00A30934"/>
    <w:rsid w:val="00A33184"/>
    <w:rsid w:val="00A33525"/>
    <w:rsid w:val="00A34F5B"/>
    <w:rsid w:val="00A36342"/>
    <w:rsid w:val="00A42896"/>
    <w:rsid w:val="00A43179"/>
    <w:rsid w:val="00A44011"/>
    <w:rsid w:val="00A44937"/>
    <w:rsid w:val="00A4771A"/>
    <w:rsid w:val="00A47A82"/>
    <w:rsid w:val="00A50D78"/>
    <w:rsid w:val="00A52005"/>
    <w:rsid w:val="00A53223"/>
    <w:rsid w:val="00A57BE7"/>
    <w:rsid w:val="00A6563F"/>
    <w:rsid w:val="00A67F48"/>
    <w:rsid w:val="00A704D5"/>
    <w:rsid w:val="00A70752"/>
    <w:rsid w:val="00A75C80"/>
    <w:rsid w:val="00A7774E"/>
    <w:rsid w:val="00A86C97"/>
    <w:rsid w:val="00A86DE0"/>
    <w:rsid w:val="00A86E28"/>
    <w:rsid w:val="00A92AC5"/>
    <w:rsid w:val="00A93E28"/>
    <w:rsid w:val="00AA701D"/>
    <w:rsid w:val="00AB4207"/>
    <w:rsid w:val="00AC26D1"/>
    <w:rsid w:val="00AD0FD6"/>
    <w:rsid w:val="00AD7994"/>
    <w:rsid w:val="00AE31C7"/>
    <w:rsid w:val="00AE3911"/>
    <w:rsid w:val="00AE709A"/>
    <w:rsid w:val="00AF5C1A"/>
    <w:rsid w:val="00AF7E75"/>
    <w:rsid w:val="00B00868"/>
    <w:rsid w:val="00B06847"/>
    <w:rsid w:val="00B07042"/>
    <w:rsid w:val="00B071FD"/>
    <w:rsid w:val="00B159DB"/>
    <w:rsid w:val="00B24F0E"/>
    <w:rsid w:val="00B26903"/>
    <w:rsid w:val="00B342ED"/>
    <w:rsid w:val="00B40077"/>
    <w:rsid w:val="00B42160"/>
    <w:rsid w:val="00B45A43"/>
    <w:rsid w:val="00B45D4C"/>
    <w:rsid w:val="00B5501D"/>
    <w:rsid w:val="00B55A3C"/>
    <w:rsid w:val="00B61668"/>
    <w:rsid w:val="00B65BFB"/>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28E1"/>
    <w:rsid w:val="00BE4777"/>
    <w:rsid w:val="00BE5C59"/>
    <w:rsid w:val="00BF47AC"/>
    <w:rsid w:val="00C017C5"/>
    <w:rsid w:val="00C02BA6"/>
    <w:rsid w:val="00C03393"/>
    <w:rsid w:val="00C05D70"/>
    <w:rsid w:val="00C061C7"/>
    <w:rsid w:val="00C07C7D"/>
    <w:rsid w:val="00C1435D"/>
    <w:rsid w:val="00C162ED"/>
    <w:rsid w:val="00C202C1"/>
    <w:rsid w:val="00C24FC8"/>
    <w:rsid w:val="00C2639C"/>
    <w:rsid w:val="00C263CC"/>
    <w:rsid w:val="00C34A5B"/>
    <w:rsid w:val="00C34DD6"/>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348"/>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55A3"/>
    <w:rsid w:val="00D06451"/>
    <w:rsid w:val="00D10464"/>
    <w:rsid w:val="00D11438"/>
    <w:rsid w:val="00D11F00"/>
    <w:rsid w:val="00D11FD0"/>
    <w:rsid w:val="00D1286E"/>
    <w:rsid w:val="00D210E0"/>
    <w:rsid w:val="00D26E50"/>
    <w:rsid w:val="00D30B3E"/>
    <w:rsid w:val="00D321C7"/>
    <w:rsid w:val="00D41CF4"/>
    <w:rsid w:val="00D42162"/>
    <w:rsid w:val="00D44556"/>
    <w:rsid w:val="00D45F11"/>
    <w:rsid w:val="00D45F7B"/>
    <w:rsid w:val="00D518FB"/>
    <w:rsid w:val="00D54DB4"/>
    <w:rsid w:val="00D56750"/>
    <w:rsid w:val="00D623F3"/>
    <w:rsid w:val="00D62A61"/>
    <w:rsid w:val="00D64E13"/>
    <w:rsid w:val="00D6550C"/>
    <w:rsid w:val="00D667B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6449"/>
    <w:rsid w:val="00DB7966"/>
    <w:rsid w:val="00DC59D1"/>
    <w:rsid w:val="00DC7D0F"/>
    <w:rsid w:val="00DD2B2D"/>
    <w:rsid w:val="00DD6641"/>
    <w:rsid w:val="00DE0E3E"/>
    <w:rsid w:val="00DE168E"/>
    <w:rsid w:val="00DE1D66"/>
    <w:rsid w:val="00DF172F"/>
    <w:rsid w:val="00DF17BF"/>
    <w:rsid w:val="00DF2140"/>
    <w:rsid w:val="00DF49FE"/>
    <w:rsid w:val="00DF65DE"/>
    <w:rsid w:val="00E02368"/>
    <w:rsid w:val="00E119C1"/>
    <w:rsid w:val="00E12A76"/>
    <w:rsid w:val="00E12DAF"/>
    <w:rsid w:val="00E15E99"/>
    <w:rsid w:val="00E1687C"/>
    <w:rsid w:val="00E2129D"/>
    <w:rsid w:val="00E213C4"/>
    <w:rsid w:val="00E25C96"/>
    <w:rsid w:val="00E3158C"/>
    <w:rsid w:val="00E35052"/>
    <w:rsid w:val="00E35309"/>
    <w:rsid w:val="00E356FE"/>
    <w:rsid w:val="00E41196"/>
    <w:rsid w:val="00E424D2"/>
    <w:rsid w:val="00E42640"/>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0225"/>
    <w:rsid w:val="00EC189B"/>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0C3D"/>
    <w:rsid w:val="00F035C6"/>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6BA9"/>
    <w:rsid w:val="00F572C7"/>
    <w:rsid w:val="00F62237"/>
    <w:rsid w:val="00F639C8"/>
    <w:rsid w:val="00F70DB5"/>
    <w:rsid w:val="00F710F9"/>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6B8A4"/>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6</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30170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9</cp:revision>
  <cp:lastPrinted>2017-09-13T20:58:00Z</cp:lastPrinted>
  <dcterms:created xsi:type="dcterms:W3CDTF">2020-06-18T13:35:00Z</dcterms:created>
  <dcterms:modified xsi:type="dcterms:W3CDTF">2020-07-13T16:23:00Z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