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Yueqian Rachel 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Yueqian Rachel Zhang</w:t>
      </w:r>
      <w:r>
        <w:t xml:space="preserve"> (e-mail: </w:t>
      </w:r>
      <w:r w:rsidR="009B204A">
        <w:t>yz2334@cornell.edu</w:t>
      </w:r>
      <w:r>
        <w:t>).</w:t>
      </w:r>
    </w:p>
    <w:p w:rsidR="005C261D" w:rsidRDefault="005C261D" w:rsidP="005C261D">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give you guidelines for preparing papers for IEEE Access. Use this document as a template if you are using Microsoft </w:t>
      </w:r>
      <w:r w:rsidR="00364197" w:rsidRPr="00364197">
        <w:rPr>
          <w:rStyle w:val="ITAL"/>
        </w:rPr>
        <w:t>Word</w:t>
      </w:r>
      <w:r w:rsidR="00364197"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xml:space="preserve">). Do not write “(Invited)” in the title. Full names of authors are preferred in the author </w:t>
      </w:r>
      <w:proofErr w:type="gramStart"/>
      <w:r w:rsidR="00364197" w:rsidRPr="00364197">
        <w:t>field, but</w:t>
      </w:r>
      <w:proofErr w:type="gramEnd"/>
      <w:r w:rsidR="00364197" w:rsidRPr="00364197">
        <w:t xml:space="preserve">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364197" w:rsidRPr="00364197">
        <w:t>paragraph, and</w:t>
      </w:r>
      <w:proofErr w:type="gramEnd"/>
      <w:r w:rsidR="00364197" w:rsidRPr="00364197">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w:t>
      </w:r>
      <w:r w:rsidR="005E1970">
        <w:rPr>
          <w:rFonts w:ascii="MS Gothic" w:eastAsia="MS Gothic" w:hAnsi="MS Gothic" w:cs="MS Gothic"/>
        </w:rPr>
        <w:t> </w:t>
      </w:r>
      <w:r w:rsidRPr="005C3955">
        <w:t>INTRODUCTION</w:t>
      </w:r>
    </w:p>
    <w:p w:rsidR="00364197" w:rsidRPr="00021C67" w:rsidRDefault="00205C43" w:rsidP="00364197">
      <w:pPr>
        <w:pStyle w:val="PARA"/>
        <w:rPr>
          <w:spacing w:val="0"/>
        </w:rPr>
      </w:pPr>
      <w:r w:rsidRPr="00021C67">
        <w:rPr>
          <w:spacing w:val="0"/>
        </w:rPr>
        <w:t>This</w:t>
      </w:r>
      <w:r w:rsidR="00364197" w:rsidRPr="00021C67">
        <w:rPr>
          <w:spacing w:val="0"/>
        </w:rPr>
        <w:t xml:space="preserve"> document is a template for Microsoft </w:t>
      </w:r>
      <w:r w:rsidR="00364197" w:rsidRPr="00021C67">
        <w:rPr>
          <w:rStyle w:val="ITAL"/>
          <w:spacing w:val="0"/>
        </w:rPr>
        <w:t>Word</w:t>
      </w:r>
      <w:r w:rsidR="00364197" w:rsidRPr="00021C67">
        <w:rPr>
          <w:spacing w:val="0"/>
        </w:rPr>
        <w:t xml:space="preserve"> versions 6.0 or later. If you are reading a paper or PDF version of this document, please download the electronic file, </w:t>
      </w:r>
      <w:r w:rsidR="00ED788C" w:rsidRPr="00021C67">
        <w:rPr>
          <w:spacing w:val="0"/>
        </w:rPr>
        <w:t>Word template</w:t>
      </w:r>
      <w:r w:rsidR="00364197" w:rsidRPr="00021C67">
        <w:rPr>
          <w:spacing w:val="0"/>
        </w:rPr>
        <w:t xml:space="preserve">, from the </w:t>
      </w:r>
      <w:r w:rsidR="00ED788C" w:rsidRPr="00021C67">
        <w:rPr>
          <w:spacing w:val="0"/>
        </w:rPr>
        <w:t>IEEE Author Center at http://ieeeauthorcenter.ieee.org/create-your-ieee-article/use-authoring-tools-and-ieee-article-templates/ieee-article-templates/</w:t>
      </w:r>
      <w:r w:rsidR="00364197" w:rsidRPr="00021C67">
        <w:rPr>
          <w:spacing w:val="0"/>
        </w:rPr>
        <w:t xml:space="preserve">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rsidR="00D828C6" w:rsidRPr="005C3955" w:rsidRDefault="00364197" w:rsidP="00364197">
      <w:pPr>
        <w:pStyle w:val="PARAIndent"/>
      </w:pPr>
      <w:r>
        <w:t>If your paper is intended for a conference, please contact your conference editor concerning acceptable word processor formats for your particular conference.</w:t>
      </w:r>
    </w:p>
    <w:p w:rsidR="00E91452" w:rsidRPr="00E91452" w:rsidRDefault="00E91452" w:rsidP="00E91452">
      <w:pPr>
        <w:pStyle w:val="H1NoSpace"/>
      </w:pPr>
      <w:r>
        <w:t>II</w:t>
      </w:r>
      <w:r w:rsidRPr="005C3955">
        <w:t>.</w:t>
      </w:r>
      <w:r>
        <w:rPr>
          <w:rFonts w:ascii="MS Gothic" w:eastAsia="MS Gothic" w:hAnsi="MS Gothic" w:cs="MS Gothic"/>
        </w:rPr>
        <w:t> </w:t>
      </w:r>
      <w:r w:rsidRPr="00E91452">
        <w:t>GUIDELINES FOR MANUSCRIPT PREPARATION</w:t>
      </w:r>
    </w:p>
    <w:p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rsidR="0084716E" w:rsidRPr="005C3955" w:rsidRDefault="0084716E" w:rsidP="0084716E">
      <w:pPr>
        <w:pStyle w:val="PARAIndent"/>
      </w:pPr>
      <w:r>
        <w:t>IEEE will do the final formatting of your paper. If your paper is intended for a conference, please observe the conference page limits.</w:t>
      </w:r>
    </w:p>
    <w:p w:rsidR="00D828C6" w:rsidRPr="00B5501D" w:rsidRDefault="005C261D" w:rsidP="001B1B9C">
      <w:pPr>
        <w:pStyle w:val="H2"/>
      </w:pPr>
      <w:r w:rsidRPr="00791AA8">
        <w:t>A.</w:t>
      </w:r>
      <w:r w:rsidR="005C3955" w:rsidRPr="007573E5">
        <w:rPr>
          <w:rFonts w:ascii="MS Gothic" w:eastAsia="MS Gothic" w:hAnsi="MS Gothic" w:cs="MS Gothic" w:hint="eastAsia"/>
        </w:rPr>
        <w:t> </w:t>
      </w:r>
      <w:r w:rsidRPr="00B5501D">
        <w:t>ABBREVIATIONS AND ACRONYMS</w:t>
      </w:r>
    </w:p>
    <w:p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D828C6" w:rsidRPr="00B5501D" w:rsidRDefault="005C261D" w:rsidP="00973331">
      <w:pPr>
        <w:pStyle w:val="H2"/>
      </w:pPr>
      <w:r>
        <w:t>B</w:t>
      </w:r>
      <w:r w:rsidRPr="00791AA8">
        <w:t>.</w:t>
      </w:r>
      <w:r w:rsidR="00973331" w:rsidRPr="007573E5">
        <w:rPr>
          <w:rFonts w:ascii="MS Gothic" w:eastAsia="MS Gothic" w:hAnsi="MS Gothic" w:cs="MS Gothic" w:hint="eastAsia"/>
        </w:rPr>
        <w:t> </w:t>
      </w:r>
      <w:r w:rsidRPr="00973331">
        <w:t>OTHER RECOMMENDATIONS</w:t>
      </w:r>
    </w:p>
    <w:p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486E60" w:rsidRPr="00E91452" w:rsidRDefault="00486E60" w:rsidP="00486E60">
      <w:pPr>
        <w:pStyle w:val="H1"/>
      </w:pPr>
      <w:r>
        <w:t>III</w:t>
      </w:r>
      <w:r w:rsidRPr="005C3955">
        <w:t>.</w:t>
      </w:r>
      <w:r>
        <w:rPr>
          <w:rFonts w:ascii="MS Gothic" w:eastAsia="MS Gothic" w:hAnsi="MS Gothic" w:cs="MS Gothic"/>
        </w:rPr>
        <w:t> </w:t>
      </w:r>
      <w:r w:rsidR="00CF1C08" w:rsidRPr="00CF1C08">
        <w:t>MATH</w:t>
      </w:r>
    </w:p>
    <w:p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rsidR="00CF1C08" w:rsidRPr="00CF1C08" w:rsidRDefault="005C261D" w:rsidP="00CF1C08">
      <w:pPr>
        <w:pStyle w:val="H2"/>
      </w:pPr>
      <w:r>
        <w:t>A</w:t>
      </w:r>
      <w:r w:rsidRPr="00791AA8">
        <w:t>.</w:t>
      </w:r>
      <w:r w:rsidR="00CF1C08" w:rsidRPr="007573E5">
        <w:rPr>
          <w:rFonts w:ascii="MS Gothic" w:eastAsia="MS Gothic" w:hAnsi="MS Gothic" w:cs="MS Gothic" w:hint="eastAsia"/>
        </w:rPr>
        <w:t> </w:t>
      </w:r>
      <w:r w:rsidRPr="00CF1C08">
        <w:t>EQUATIONS</w:t>
      </w:r>
    </w:p>
    <w:p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rsidR="00CF1C08" w:rsidRDefault="00CF1C08" w:rsidP="00CF1C08">
      <w:pPr>
        <w:pStyle w:val="Equation"/>
        <w:rPr>
          <w:i w:val="0"/>
        </w:rPr>
      </w:pPr>
      <w:r w:rsidRPr="00CF1C08">
        <w:rPr>
          <w:i w:val="0"/>
        </w:rPr>
        <w:tab/>
        <w:t>(1)</w:t>
      </w:r>
    </w:p>
    <w:p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rsidR="0091745E" w:rsidRPr="0091745E" w:rsidRDefault="0091745E" w:rsidP="0091745E">
      <w:pPr>
        <w:pStyle w:val="H1"/>
      </w:pPr>
      <w:r>
        <w:t>IV</w:t>
      </w:r>
      <w:r w:rsidRPr="005C3955">
        <w:t>.</w:t>
      </w:r>
      <w:r>
        <w:rPr>
          <w:rFonts w:ascii="MS Gothic" w:eastAsia="MS Gothic" w:hAnsi="MS Gothic" w:cs="MS Gothic"/>
        </w:rPr>
        <w:t> </w:t>
      </w:r>
      <w:r w:rsidRPr="0091745E">
        <w:t>UNITS</w:t>
      </w:r>
    </w:p>
    <w:p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rsidR="0091745E" w:rsidRPr="0091745E" w:rsidRDefault="0091745E" w:rsidP="0091745E">
      <w:pPr>
        <w:pStyle w:val="H1"/>
      </w:pPr>
      <w:r>
        <w:t>V</w:t>
      </w:r>
      <w:r w:rsidRPr="005C3955">
        <w:t>.</w:t>
      </w:r>
      <w:r>
        <w:rPr>
          <w:rFonts w:ascii="MS Gothic" w:eastAsia="MS Gothic" w:hAnsi="MS Gothic" w:cs="MS Gothic"/>
        </w:rPr>
        <w:t> </w:t>
      </w:r>
      <w:r w:rsidRPr="0091745E">
        <w:t>SOME COMMON MISTAKES</w:t>
      </w:r>
    </w:p>
    <w:p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rsidR="00BE0B38" w:rsidRDefault="00BE0B38" w:rsidP="008F2FB3">
      <w:pPr>
        <w:pStyle w:val="H2NoSpace"/>
        <w:rPr>
          <w:noProof/>
        </w:rPr>
      </w:pPr>
      <w:r>
        <w:br w:type="page"/>
      </w:r>
      <w:r w:rsidR="00AF5C1A" w:rsidRPr="00F00147">
        <w:rPr>
          <w:noProof/>
        </w:rPr>
        <w:lastRenderedPageBreak/>
        <w:drawing>
          <wp:inline distT="0" distB="0" distL="0" distR="0">
            <wp:extent cx="3147060" cy="2392045"/>
            <wp:effectExtent l="0" t="0" r="0" b="0"/>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rsidR="00BE0B38" w:rsidRDefault="00BE0B38" w:rsidP="00BE0B38">
      <w:pPr>
        <w:pStyle w:val="PARA"/>
      </w:pPr>
    </w:p>
    <w:p w:rsidR="0091745E" w:rsidRDefault="0091745E" w:rsidP="00BE0B38">
      <w:pPr>
        <w:pStyle w:val="PARA"/>
      </w:pPr>
      <w:r>
        <w:t xml:space="preserve">(e.g., “principle of measurement”). Do not confuse “imply” and “infer.” </w:t>
      </w:r>
    </w:p>
    <w:p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rsidR="00BE0B38" w:rsidRPr="0091745E" w:rsidRDefault="00BE0B38" w:rsidP="00BE0B38">
      <w:pPr>
        <w:pStyle w:val="H1"/>
      </w:pPr>
      <w:r>
        <w:t>VI</w:t>
      </w:r>
      <w:r w:rsidRPr="005C3955">
        <w:t>.</w:t>
      </w:r>
      <w:r>
        <w:rPr>
          <w:rFonts w:ascii="MS Gothic" w:eastAsia="MS Gothic" w:hAnsi="MS Gothic" w:cs="MS Gothic"/>
        </w:rPr>
        <w:t> </w:t>
      </w:r>
      <w:r>
        <w:t xml:space="preserve">GUIDELINES FOR GRAPHICS PREPARATION </w:t>
      </w:r>
      <w:r>
        <w:br/>
        <w:t>AND SUBMISSION</w:t>
      </w:r>
    </w:p>
    <w:p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rsidR="007E44F5" w:rsidRPr="007E44F5" w:rsidRDefault="00BE0B38" w:rsidP="00BE0B38">
      <w:pPr>
        <w:pStyle w:val="H3"/>
      </w:pPr>
      <w:r w:rsidRPr="005E1970">
        <w:t>1)</w:t>
      </w:r>
      <w:r w:rsidRPr="007573E5">
        <w:rPr>
          <w:rFonts w:ascii="MS Gothic" w:eastAsia="MS Gothic" w:hAnsi="MS Gothic" w:cs="MS Gothic" w:hint="eastAsia"/>
        </w:rPr>
        <w:t> </w:t>
      </w:r>
      <w:r w:rsidRPr="00BE0B38">
        <w:t>Color/Grayscale figures</w:t>
      </w:r>
    </w:p>
    <w:p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rsidR="007E44F5" w:rsidRPr="007E44F5" w:rsidRDefault="00BE0B38" w:rsidP="00BE0B38">
      <w:pPr>
        <w:pStyle w:val="H3"/>
      </w:pPr>
      <w:r>
        <w:t>2</w:t>
      </w:r>
      <w:r w:rsidRPr="005E1970">
        <w:t>)</w:t>
      </w:r>
      <w:r w:rsidRPr="007573E5">
        <w:rPr>
          <w:rFonts w:ascii="MS Gothic" w:eastAsia="MS Gothic" w:hAnsi="MS Gothic" w:cs="MS Gothic" w:hint="eastAsia"/>
        </w:rPr>
        <w:t> </w:t>
      </w:r>
      <w:r w:rsidRPr="00BE0B38">
        <w:t>Line Art figures</w:t>
      </w:r>
    </w:p>
    <w:p w:rsidR="008F2FB3" w:rsidRPr="008F2FB3" w:rsidRDefault="008F2FB3" w:rsidP="008F2FB3">
      <w:pPr>
        <w:pStyle w:val="PARA"/>
      </w:pPr>
      <w:r w:rsidRPr="008F2FB3">
        <w:t>Figures that are composed of only black lines and shapes. These figures should have no shades or half-tones of gray, only black and white.</w:t>
      </w:r>
    </w:p>
    <w:p w:rsidR="008F2FB3" w:rsidRPr="008F2FB3" w:rsidRDefault="008F2FB3" w:rsidP="008F2FB3">
      <w:pPr>
        <w:pStyle w:val="H3"/>
      </w:pPr>
      <w:r>
        <w:t>3</w:t>
      </w:r>
      <w:r w:rsidRPr="005E1970">
        <w:t>)</w:t>
      </w:r>
      <w:r w:rsidRPr="007573E5">
        <w:rPr>
          <w:rFonts w:ascii="MS Gothic" w:eastAsia="MS Gothic" w:hAnsi="MS Gothic" w:cs="MS Gothic" w:hint="eastAsia"/>
        </w:rPr>
        <w:t> </w:t>
      </w:r>
      <w:r w:rsidRPr="008F2FB3">
        <w:t>Author photos</w:t>
      </w:r>
    </w:p>
    <w:p w:rsidR="008F2FB3" w:rsidRPr="008F2FB3" w:rsidRDefault="008F2FB3" w:rsidP="008F2FB3">
      <w:pPr>
        <w:pStyle w:val="PARA"/>
      </w:pPr>
      <w:r w:rsidRPr="008F2FB3">
        <w:t xml:space="preserve">Head and shoulders shots of authors that appear at the end of our papers. </w:t>
      </w:r>
    </w:p>
    <w:p w:rsidR="00F70DB5" w:rsidRPr="008F2FB3" w:rsidRDefault="00F70DB5" w:rsidP="00F70DB5">
      <w:pPr>
        <w:pStyle w:val="H3"/>
      </w:pPr>
      <w:r>
        <w:t>4</w:t>
      </w:r>
      <w:r w:rsidRPr="005E1970">
        <w:t>)</w:t>
      </w:r>
      <w:r w:rsidRPr="007573E5">
        <w:rPr>
          <w:rFonts w:ascii="MS Gothic" w:eastAsia="MS Gothic" w:hAnsi="MS Gothic" w:cs="MS Gothic" w:hint="eastAsia"/>
        </w:rPr>
        <w:t> </w:t>
      </w:r>
      <w:r w:rsidRPr="008F2FB3">
        <w:t>Tables</w:t>
      </w:r>
    </w:p>
    <w:p w:rsidR="00F70DB5" w:rsidRPr="008F2FB3" w:rsidRDefault="00F70DB5" w:rsidP="00F70DB5">
      <w:pPr>
        <w:pStyle w:val="PARA"/>
      </w:pPr>
      <w:r w:rsidRPr="008F2FB3">
        <w:t>Data charts which are typically black and white, but sometimes include color.</w:t>
      </w:r>
    </w:p>
    <w:p w:rsidR="00D45F11" w:rsidRDefault="00F70DB5" w:rsidP="00D45F11">
      <w:pPr>
        <w:pStyle w:val="TableTitle"/>
      </w:pPr>
      <w:r>
        <w:br w:type="column"/>
      </w:r>
      <w:r w:rsidR="00D45F11">
        <w:t>TABLE I</w:t>
      </w:r>
    </w:p>
    <w:p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rsidTr="0001799E">
        <w:trPr>
          <w:trHeight w:val="440"/>
        </w:trPr>
        <w:tc>
          <w:tcPr>
            <w:tcW w:w="720" w:type="dxa"/>
            <w:tcBorders>
              <w:top w:val="double" w:sz="6" w:space="0" w:color="auto"/>
              <w:left w:val="nil"/>
              <w:bottom w:val="single" w:sz="6" w:space="0" w:color="auto"/>
              <w:right w:val="nil"/>
            </w:tcBorders>
            <w:vAlign w:val="center"/>
          </w:tcPr>
          <w:p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rsidR="00D45F11" w:rsidRDefault="00D45F11" w:rsidP="0001799E">
            <w:pPr>
              <w:jc w:val="center"/>
              <w:rPr>
                <w:sz w:val="16"/>
                <w:szCs w:val="16"/>
              </w:rPr>
            </w:pPr>
            <w:r>
              <w:rPr>
                <w:sz w:val="16"/>
                <w:szCs w:val="16"/>
              </w:rPr>
              <w:t>Conversion from Gaussian and</w:t>
            </w:r>
          </w:p>
          <w:p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rsidTr="0001799E">
        <w:tc>
          <w:tcPr>
            <w:tcW w:w="720" w:type="dxa"/>
            <w:tcBorders>
              <w:top w:val="nil"/>
              <w:left w:val="nil"/>
              <w:bottom w:val="nil"/>
              <w:right w:val="nil"/>
            </w:tcBorders>
          </w:tcPr>
          <w:p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rsidR="00D45F11" w:rsidRDefault="00D45F11" w:rsidP="0001799E">
            <w:pPr>
              <w:rPr>
                <w:sz w:val="16"/>
                <w:szCs w:val="16"/>
              </w:rPr>
            </w:pPr>
            <w:r>
              <w:rPr>
                <w:sz w:val="16"/>
                <w:szCs w:val="16"/>
              </w:rPr>
              <w:t xml:space="preserve">magnetic flux density, </w:t>
            </w:r>
          </w:p>
          <w:p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erg/G = 1 emu </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rsidR="00D45F11" w:rsidRDefault="00D45F11" w:rsidP="0001799E">
            <w:pPr>
              <w:rPr>
                <w:sz w:val="16"/>
                <w:szCs w:val="16"/>
              </w:rPr>
            </w:pPr>
            <w:r>
              <w:rPr>
                <w:sz w:val="16"/>
                <w:szCs w:val="16"/>
              </w:rPr>
              <w:t xml:space="preserve">magnetic dipole </w:t>
            </w:r>
          </w:p>
          <w:p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erg/G = 1 emu </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rsidTr="0001799E">
        <w:tc>
          <w:tcPr>
            <w:tcW w:w="720" w:type="dxa"/>
            <w:tcBorders>
              <w:top w:val="nil"/>
              <w:left w:val="nil"/>
              <w:bottom w:val="nil"/>
              <w:right w:val="nil"/>
            </w:tcBorders>
          </w:tcPr>
          <w:p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rsidTr="0001799E">
        <w:trPr>
          <w:trHeight w:val="279"/>
        </w:trPr>
        <w:tc>
          <w:tcPr>
            <w:tcW w:w="720" w:type="dxa"/>
            <w:tcBorders>
              <w:top w:val="nil"/>
              <w:left w:val="nil"/>
              <w:bottom w:val="double" w:sz="6" w:space="0" w:color="auto"/>
              <w:right w:val="nil"/>
            </w:tcBorders>
          </w:tcPr>
          <w:p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D45F11" w:rsidRDefault="00D45F11" w:rsidP="00D45F11">
      <w:pPr>
        <w:pStyle w:val="FootnoteText"/>
      </w:pPr>
      <w:r>
        <w:t xml:space="preserve">Vertical lines are optional in tables. Statements that serve as captions for the entire table do not need footnote letters. </w:t>
      </w:r>
    </w:p>
    <w:p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BE0B38" w:rsidRPr="00CF1C08" w:rsidRDefault="005C261D" w:rsidP="00D45F11">
      <w:pPr>
        <w:pStyle w:val="H2"/>
      </w:pPr>
      <w:r>
        <w:t>B</w:t>
      </w:r>
      <w:r w:rsidRPr="00791AA8">
        <w:t>.</w:t>
      </w:r>
      <w:r w:rsidR="00F70DB5" w:rsidRPr="007573E5">
        <w:rPr>
          <w:rFonts w:ascii="MS Gothic" w:eastAsia="MS Gothic" w:hAnsi="MS Gothic" w:cs="MS Gothic" w:hint="eastAsia"/>
        </w:rPr>
        <w:t> </w:t>
      </w:r>
      <w:r w:rsidRPr="00D45F11">
        <w:t>MULTIPART FIGURES</w:t>
      </w:r>
    </w:p>
    <w:p w:rsidR="00F70DB5" w:rsidRPr="00F70DB5" w:rsidRDefault="00F70DB5" w:rsidP="00F70DB5">
      <w:pPr>
        <w:pStyle w:val="PARA"/>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rsidR="00D45F11" w:rsidRPr="00D45F11" w:rsidRDefault="005C261D" w:rsidP="00D45F11">
      <w:pPr>
        <w:pStyle w:val="H2"/>
      </w:pPr>
      <w:r>
        <w:t>C</w:t>
      </w:r>
      <w:r w:rsidRPr="00791AA8">
        <w:t>.</w:t>
      </w:r>
      <w:r w:rsidR="00D45F11" w:rsidRPr="007573E5">
        <w:rPr>
          <w:rFonts w:ascii="MS Gothic" w:eastAsia="MS Gothic" w:hAnsi="MS Gothic" w:cs="MS Gothic" w:hint="eastAsia"/>
        </w:rPr>
        <w:t> </w:t>
      </w:r>
      <w:r w:rsidRPr="00D45F11">
        <w:t>FILE FORMATS FOR GRAPHICS</w:t>
      </w:r>
    </w:p>
    <w:p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BC4302" w:rsidRDefault="00BC4302" w:rsidP="00457310">
      <w:pPr>
        <w:pStyle w:val="H2NoSpace"/>
        <w:spacing w:before="0"/>
        <w:sectPr w:rsidR="00BC4302" w:rsidSect="00422716">
          <w:footerReference w:type="default" r:id="rId12"/>
          <w:type w:val="continuous"/>
          <w:pgSz w:w="11520" w:h="15660" w:code="1"/>
          <w:pgMar w:top="1300" w:right="740" w:bottom="1040" w:left="740" w:header="360" w:footer="640" w:gutter="0"/>
          <w:cols w:num="2" w:space="400"/>
          <w:docGrid w:linePitch="360"/>
        </w:sectPr>
      </w:pPr>
    </w:p>
    <w:p w:rsidR="00457310" w:rsidRPr="00CF1C08" w:rsidRDefault="00457310" w:rsidP="00457310">
      <w:pPr>
        <w:pStyle w:val="H2NoSpace"/>
        <w:spacing w:before="0"/>
      </w:pPr>
      <w:r>
        <w:br w:type="page"/>
      </w:r>
      <w:r w:rsidR="005C261D">
        <w:lastRenderedPageBreak/>
        <w:t>D</w:t>
      </w:r>
      <w:r w:rsidR="005C261D" w:rsidRPr="00791AA8">
        <w:t>.</w:t>
      </w:r>
      <w:r w:rsidRPr="007573E5">
        <w:rPr>
          <w:rFonts w:ascii="MS Gothic" w:eastAsia="MS Gothic" w:hAnsi="MS Gothic" w:cs="MS Gothic" w:hint="eastAsia"/>
        </w:rPr>
        <w:t> </w:t>
      </w:r>
      <w:r w:rsidR="005C261D" w:rsidRPr="00457310">
        <w:t>SIZING OF GRAPHICS</w:t>
      </w:r>
    </w:p>
    <w:p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rsidR="00457310" w:rsidRPr="00457310" w:rsidRDefault="00457310" w:rsidP="00457310">
      <w:pPr>
        <w:pStyle w:val="PARAIndent"/>
      </w:pPr>
      <w:r w:rsidRPr="00457310">
        <w:t xml:space="preserve">The final printed size of author photographs is exactly </w:t>
      </w:r>
      <w:r w:rsidRPr="00457310">
        <w:br/>
      </w:r>
      <w:proofErr w:type="gramStart"/>
      <w:r w:rsidRPr="00457310">
        <w:t>1 inch wide</w:t>
      </w:r>
      <w:proofErr w:type="gramEnd"/>
      <w:r w:rsidRPr="00457310">
        <w:t xml:space="preserve"> by 1.25 inches tall (25.4 millimeters x 31.75 millimeters / 6 picas x 7.5 picas). Author photos printed in editorials measure 1.59 inches wide by 2 inches tall (40 millimeters x 50 millimeters / 9.5 picas x 12 picas).</w:t>
      </w:r>
    </w:p>
    <w:p w:rsidR="00457310" w:rsidRPr="00CF1C08" w:rsidRDefault="005C261D" w:rsidP="00457310">
      <w:pPr>
        <w:pStyle w:val="H2"/>
      </w:pPr>
      <w:r>
        <w:t>E</w:t>
      </w:r>
      <w:r w:rsidRPr="00791AA8">
        <w:t>.</w:t>
      </w:r>
      <w:r w:rsidR="00457310" w:rsidRPr="007573E5">
        <w:rPr>
          <w:rFonts w:ascii="MS Gothic" w:eastAsia="MS Gothic" w:hAnsi="MS Gothic" w:cs="MS Gothic" w:hint="eastAsia"/>
        </w:rPr>
        <w:t> </w:t>
      </w:r>
      <w:r w:rsidRPr="00457310">
        <w:t>RESOLUTION</w:t>
      </w:r>
    </w:p>
    <w:p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rsidR="00457310" w:rsidRPr="00CF1C08" w:rsidRDefault="005C261D" w:rsidP="00457310">
      <w:pPr>
        <w:pStyle w:val="H2"/>
      </w:pPr>
      <w:r>
        <w:t>F</w:t>
      </w:r>
      <w:r w:rsidRPr="00791AA8">
        <w:t>.</w:t>
      </w:r>
      <w:r w:rsidR="00457310" w:rsidRPr="007573E5">
        <w:rPr>
          <w:rFonts w:ascii="MS Gothic" w:eastAsia="MS Gothic" w:hAnsi="MS Gothic" w:cs="MS Gothic" w:hint="eastAsia"/>
        </w:rPr>
        <w:t> </w:t>
      </w:r>
      <w:r w:rsidR="00034A7F">
        <w:t>VECTOR ART</w:t>
      </w:r>
    </w:p>
    <w:p w:rsidR="00457310" w:rsidRPr="00457310" w:rsidRDefault="00457310" w:rsidP="00457310">
      <w:pPr>
        <w:pStyle w:val="PARA"/>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rsidR="00457310" w:rsidRPr="00CF1C08" w:rsidRDefault="005C261D" w:rsidP="00457310">
      <w:pPr>
        <w:pStyle w:val="H2"/>
      </w:pPr>
      <w:r>
        <w:t>G</w:t>
      </w:r>
      <w:r w:rsidRPr="00791AA8">
        <w:t>.</w:t>
      </w:r>
      <w:r w:rsidR="00457310" w:rsidRPr="007573E5">
        <w:rPr>
          <w:rFonts w:ascii="MS Gothic" w:eastAsia="MS Gothic" w:hAnsi="MS Gothic" w:cs="MS Gothic" w:hint="eastAsia"/>
        </w:rPr>
        <w:t> </w:t>
      </w:r>
      <w:r w:rsidR="00034A7F">
        <w:t>COLOR SPACE</w:t>
      </w:r>
    </w:p>
    <w:p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rsidR="00457310" w:rsidRPr="00457310" w:rsidRDefault="005C261D" w:rsidP="00457310">
      <w:pPr>
        <w:pStyle w:val="H2"/>
      </w:pPr>
      <w:r>
        <w:t>H</w:t>
      </w:r>
      <w:r w:rsidRPr="00791AA8">
        <w:t>.</w:t>
      </w:r>
      <w:r w:rsidR="00457310" w:rsidRPr="007573E5">
        <w:rPr>
          <w:rFonts w:ascii="MS Gothic" w:eastAsia="MS Gothic" w:hAnsi="MS Gothic" w:cs="MS Gothic" w:hint="eastAsia"/>
        </w:rPr>
        <w:t> </w:t>
      </w:r>
      <w:r w:rsidRPr="00457310">
        <w:t>ACCEPTED FONTS WITHIN FIGURES</w:t>
      </w:r>
    </w:p>
    <w:p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rsidR="002F1D45" w:rsidRPr="002F1D45" w:rsidRDefault="005C261D" w:rsidP="002F1D45">
      <w:pPr>
        <w:pStyle w:val="H2"/>
      </w:pPr>
      <w:r>
        <w:t>I</w:t>
      </w:r>
      <w:r w:rsidRPr="00791AA8">
        <w:t>.</w:t>
      </w:r>
      <w:r w:rsidR="002F1D45" w:rsidRPr="007573E5">
        <w:rPr>
          <w:rFonts w:ascii="MS Gothic" w:eastAsia="MS Gothic" w:hAnsi="MS Gothic" w:cs="MS Gothic" w:hint="eastAsia"/>
        </w:rPr>
        <w:t> </w:t>
      </w:r>
      <w:r w:rsidRPr="002F1D45">
        <w:t>USING LABELS WITHIN FIGURES</w:t>
      </w:r>
    </w:p>
    <w:p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CC4731" w:rsidRPr="00E857A2">
        <w:rPr>
          <w:noProof/>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pt;height:6.15pt;mso-width-percent:0;mso-height-percent:0;mso-width-percent:0;mso-height-percent:0" o:ole="" fillcolor="window">
            <v:imagedata r:id="rId13" o:title=""/>
          </v:shape>
          <o:OLEObject Type="Embed" ProgID="Equation.3" ShapeID="_x0000_i1025" DrawAspect="Content" ObjectID="_1653200536"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rsidR="00594D78" w:rsidRPr="00594D78" w:rsidRDefault="00594D78" w:rsidP="00594D78">
      <w:pPr>
        <w:pStyle w:val="H3"/>
      </w:pPr>
      <w:r>
        <w:t>2</w:t>
      </w:r>
      <w:r w:rsidRPr="005E1970">
        <w:t>)</w:t>
      </w:r>
      <w:r w:rsidRPr="007573E5">
        <w:rPr>
          <w:rFonts w:ascii="MS Gothic" w:eastAsia="MS Gothic" w:hAnsi="MS Gothic" w:cs="MS Gothic" w:hint="eastAsia"/>
        </w:rPr>
        <w:t> </w:t>
      </w:r>
      <w:r w:rsidRPr="00594D78">
        <w:t xml:space="preserve"> Subfigure Labels in Multipart Figures and Tables</w:t>
      </w:r>
    </w:p>
    <w:p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rsidR="00594D78" w:rsidRPr="00594D78" w:rsidRDefault="005C261D" w:rsidP="00594D78">
      <w:pPr>
        <w:pStyle w:val="H2"/>
      </w:pPr>
      <w:r>
        <w:t>J</w:t>
      </w:r>
      <w:r w:rsidRPr="00791AA8">
        <w:t>.</w:t>
      </w:r>
      <w:r w:rsidR="00594D78" w:rsidRPr="007573E5">
        <w:rPr>
          <w:rFonts w:ascii="MS Gothic" w:eastAsia="MS Gothic" w:hAnsi="MS Gothic" w:cs="MS Gothic" w:hint="eastAsia"/>
        </w:rPr>
        <w:t> </w:t>
      </w:r>
      <w:r w:rsidRPr="00594D78">
        <w:t>FILE NAMING</w:t>
      </w:r>
    </w:p>
    <w:p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rsidR="00BC4302" w:rsidRDefault="00BC4302" w:rsidP="00767D54">
      <w:pPr>
        <w:pStyle w:val="H2NoSpace"/>
        <w:spacing w:before="0"/>
        <w:sectPr w:rsidR="00BC4302" w:rsidSect="00422716">
          <w:footerReference w:type="default" r:id="rId15"/>
          <w:type w:val="continuous"/>
          <w:pgSz w:w="11520" w:h="15660" w:code="1"/>
          <w:pgMar w:top="1300" w:right="740" w:bottom="1040" w:left="740" w:header="360" w:footer="640" w:gutter="0"/>
          <w:cols w:num="2" w:space="400"/>
          <w:docGrid w:linePitch="360"/>
        </w:sectPr>
      </w:pPr>
    </w:p>
    <w:p w:rsidR="00767D54" w:rsidRPr="00594D78" w:rsidRDefault="00767D54" w:rsidP="00767D54">
      <w:pPr>
        <w:pStyle w:val="H2NoSpace"/>
        <w:spacing w:before="0"/>
      </w:pPr>
      <w:r>
        <w:br w:type="page"/>
      </w:r>
      <w:r w:rsidR="005C261D">
        <w:lastRenderedPageBreak/>
        <w:t>K</w:t>
      </w:r>
      <w:r w:rsidR="005C261D" w:rsidRPr="00791AA8">
        <w:t>.</w:t>
      </w:r>
      <w:r w:rsidRPr="007573E5">
        <w:rPr>
          <w:rFonts w:ascii="MS Gothic" w:eastAsia="MS Gothic" w:hAnsi="MS Gothic" w:cs="MS Gothic" w:hint="eastAsia"/>
        </w:rPr>
        <w:t> </w:t>
      </w:r>
      <w:r w:rsidR="005C261D" w:rsidRPr="00AD0FD6">
        <w:t>REFERENCING A FIGURE OR TABLE WITHIN YOUR PAPER</w:t>
      </w:r>
    </w:p>
    <w:p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rsidR="00AD0FD6" w:rsidRPr="00594D78" w:rsidRDefault="005C261D" w:rsidP="00AD0FD6">
      <w:pPr>
        <w:pStyle w:val="H2"/>
      </w:pPr>
      <w:r>
        <w:t>L</w:t>
      </w:r>
      <w:r w:rsidRPr="00791AA8">
        <w:t>.</w:t>
      </w:r>
      <w:r w:rsidR="00AD0FD6" w:rsidRPr="007573E5">
        <w:rPr>
          <w:rFonts w:ascii="MS Gothic" w:eastAsia="MS Gothic" w:hAnsi="MS Gothic" w:cs="MS Gothic" w:hint="eastAsia"/>
        </w:rPr>
        <w:t> </w:t>
      </w:r>
      <w:r w:rsidRPr="00AD0FD6">
        <w:t>CHECKING YOUR FIGURES: THE IEEE GRAPHICS ANALYZER</w:t>
      </w:r>
    </w:p>
    <w:p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rsidR="001C597C" w:rsidRPr="00594D78" w:rsidRDefault="005C261D" w:rsidP="001C597C">
      <w:pPr>
        <w:pStyle w:val="H2"/>
      </w:pPr>
      <w:r>
        <w:t>M</w:t>
      </w:r>
      <w:r w:rsidRPr="00791AA8">
        <w:t>.</w:t>
      </w:r>
      <w:r w:rsidR="001C597C" w:rsidRPr="007573E5">
        <w:rPr>
          <w:rFonts w:ascii="MS Gothic" w:eastAsia="MS Gothic" w:hAnsi="MS Gothic" w:cs="MS Gothic" w:hint="eastAsia"/>
        </w:rPr>
        <w:t> </w:t>
      </w:r>
      <w:r w:rsidRPr="001C597C">
        <w:t>SUBMITTING YOUR GRAPHICS</w:t>
      </w:r>
    </w:p>
    <w:p w:rsidR="001C597C" w:rsidRDefault="001C597C" w:rsidP="001C597C">
      <w:pPr>
        <w:pStyle w:val="PARA"/>
      </w:pPr>
      <w:r>
        <w:t xml:space="preserve">Because IEEE will do the final formatting of your paper, </w:t>
      </w:r>
    </w:p>
    <w:p w:rsidR="001C597C" w:rsidRPr="00242D8A" w:rsidRDefault="001C597C" w:rsidP="001C597C">
      <w:pPr>
        <w:pStyle w:val="PARA"/>
        <w:rPr>
          <w:rStyle w:val="BodyText2"/>
          <w:rFonts w:ascii="Times New Roman" w:hAnsi="Times New Roman" w:cs="TimesLTStd-Roman"/>
          <w:color w:val="auto"/>
          <w:sz w:val="20"/>
        </w:rPr>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rsidR="001C597C" w:rsidRPr="00594D78" w:rsidRDefault="005C261D" w:rsidP="001C597C">
      <w:pPr>
        <w:pStyle w:val="H2"/>
      </w:pPr>
      <w:r>
        <w:t>N</w:t>
      </w:r>
      <w:r w:rsidRPr="00791AA8">
        <w:t>.</w:t>
      </w:r>
      <w:r w:rsidR="001C597C" w:rsidRPr="007573E5">
        <w:rPr>
          <w:rFonts w:ascii="MS Gothic" w:eastAsia="MS Gothic" w:hAnsi="MS Gothic" w:cs="MS Gothic" w:hint="eastAsia"/>
        </w:rPr>
        <w:t> </w:t>
      </w:r>
      <w:r w:rsidRPr="001C597C">
        <w:t>COLOR PROCESSING / PRINTING IN IEEE JOURNALS</w:t>
      </w:r>
    </w:p>
    <w:p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486E60" w:rsidRPr="00E91452" w:rsidRDefault="001C597C" w:rsidP="00457310">
      <w:pPr>
        <w:pStyle w:val="H1"/>
      </w:pPr>
      <w:r>
        <w:t>VII</w:t>
      </w:r>
      <w:r w:rsidR="007E44F5" w:rsidRPr="005C3955">
        <w:t>.</w:t>
      </w:r>
      <w:r w:rsidR="007E44F5">
        <w:rPr>
          <w:rFonts w:ascii="MS Gothic" w:eastAsia="MS Gothic" w:hAnsi="MS Gothic" w:cs="MS Gothic"/>
        </w:rPr>
        <w:t> </w:t>
      </w:r>
      <w:r w:rsidRPr="001C597C">
        <w:t>CONCLUSION</w:t>
      </w:r>
    </w:p>
    <w:p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rsidR="001C597C" w:rsidRPr="001C597C" w:rsidRDefault="001C597C" w:rsidP="001C597C">
      <w:pPr>
        <w:pStyle w:val="H1"/>
      </w:pPr>
      <w:r w:rsidRPr="001C597C">
        <w:t>APPENDIX</w:t>
      </w:r>
    </w:p>
    <w:p w:rsidR="001C597C" w:rsidRPr="001C597C" w:rsidRDefault="001C597C" w:rsidP="001C597C">
      <w:pPr>
        <w:pStyle w:val="PARA"/>
      </w:pPr>
      <w:r w:rsidRPr="001C597C">
        <w:t>Appendixes, if needed, appear before the acknowledgment.</w:t>
      </w:r>
    </w:p>
    <w:p w:rsidR="001C597C" w:rsidRPr="001C597C" w:rsidRDefault="001C597C" w:rsidP="001C597C">
      <w:pPr>
        <w:pStyle w:val="H1"/>
      </w:pPr>
      <w:r w:rsidRPr="001C597C">
        <w:t>ACKNOWLEDGMENT</w:t>
      </w:r>
    </w:p>
    <w:p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rsidR="001C597C" w:rsidRPr="001C597C" w:rsidRDefault="001C597C" w:rsidP="001C597C">
      <w:pPr>
        <w:pStyle w:val="H1"/>
      </w:pPr>
      <w:r w:rsidRPr="001C597C">
        <w:t>REFERENCES AND FOOTNOTES</w:t>
      </w:r>
    </w:p>
    <w:p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rsidR="001C597C" w:rsidRPr="001C597C" w:rsidRDefault="005C261D" w:rsidP="001C597C">
      <w:pPr>
        <w:pStyle w:val="H2"/>
      </w:pPr>
      <w:r>
        <w:t>A</w:t>
      </w:r>
      <w:r w:rsidRPr="00791AA8">
        <w:t>.</w:t>
      </w:r>
      <w:r w:rsidR="001C597C" w:rsidRPr="007573E5">
        <w:rPr>
          <w:rFonts w:ascii="MS Gothic" w:eastAsia="MS Gothic" w:hAnsi="MS Gothic" w:cs="MS Gothic" w:hint="eastAsia"/>
        </w:rPr>
        <w:t> </w:t>
      </w:r>
      <w:r w:rsidRPr="001C597C">
        <w:t>FOOTNOTES</w:t>
      </w:r>
    </w:p>
    <w:p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rsidR="001C597C" w:rsidRPr="00D11438" w:rsidRDefault="001C597C" w:rsidP="001C597C">
      <w:pPr>
        <w:pStyle w:val="H1"/>
      </w:pPr>
      <w:r>
        <w:t>VIII</w:t>
      </w:r>
      <w:r w:rsidRPr="005C3955">
        <w:t>.</w:t>
      </w:r>
      <w:r>
        <w:rPr>
          <w:rFonts w:ascii="MS Gothic" w:eastAsia="MS Gothic" w:hAnsi="MS Gothic" w:cs="MS Gothic"/>
        </w:rPr>
        <w:t> </w:t>
      </w:r>
      <w:r w:rsidR="00D11438" w:rsidRPr="00D11438">
        <w:t>SUBMITTING YOUR PAPER FOR REVIEW</w:t>
      </w:r>
    </w:p>
    <w:p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REVIEW STAGE USING WORD 6.0 OR HIGHER</w:t>
      </w:r>
    </w:p>
    <w:p w:rsidR="00D11438" w:rsidRDefault="00D11438" w:rsidP="00D11438">
      <w:pPr>
        <w:pStyle w:val="PARA"/>
      </w:pPr>
      <w:r>
        <w:t>If you want to submit your file with one column electronically, please do the following:</w:t>
      </w:r>
    </w:p>
    <w:p w:rsidR="00D11438" w:rsidRDefault="00D11438" w:rsidP="00D11438">
      <w:pPr>
        <w:pStyle w:val="PARAIndent"/>
      </w:pPr>
      <w:proofErr w:type="gramStart"/>
      <w:r>
        <w:t>--First,</w:t>
      </w:r>
      <w:proofErr w:type="gramEnd"/>
      <w:r>
        <w:t xml:space="preserve"> click on the View menu and choose Print Layout.</w:t>
      </w:r>
    </w:p>
    <w:p w:rsidR="00D11438" w:rsidRDefault="00D11438" w:rsidP="00D11438">
      <w:pPr>
        <w:pStyle w:val="PARAIndent"/>
      </w:pPr>
      <w:proofErr w:type="gramStart"/>
      <w:r>
        <w:t>--Second,</w:t>
      </w:r>
      <w:proofErr w:type="gramEnd"/>
      <w:r>
        <w:t xml:space="preserve"> place your cursor in the first paragraph. Go to the Format menu, choose Columns, choose one column Layout, and choose “apply to whole document” from the dropdown menu.</w:t>
      </w:r>
    </w:p>
    <w:p w:rsidR="00D11438" w:rsidRDefault="00D11438" w:rsidP="00D11438">
      <w:pPr>
        <w:pStyle w:val="PARAIndent"/>
      </w:pPr>
      <w:r>
        <w:t>--Third, click and drag the right margin bar to just over 4 inches in width.</w:t>
      </w:r>
    </w:p>
    <w:p w:rsidR="00D11438" w:rsidRDefault="00D11438" w:rsidP="00D11438">
      <w:pPr>
        <w:pStyle w:val="PARAIndent"/>
      </w:pPr>
      <w:r>
        <w:t>The graphics will stay in the “second” column, but you can drag them to the first column. Make the graphic wider to push out any text that may try to fill in next to the graphic.</w:t>
      </w:r>
    </w:p>
    <w:p w:rsidR="00D11438" w:rsidRPr="00594D78" w:rsidRDefault="005C261D" w:rsidP="00D11438">
      <w:pPr>
        <w:pStyle w:val="H2"/>
      </w:pPr>
      <w:r>
        <w:t>B</w:t>
      </w:r>
      <w:r w:rsidRPr="00791AA8">
        <w:t>.</w:t>
      </w:r>
      <w:r w:rsidR="00D11438" w:rsidRPr="007573E5">
        <w:rPr>
          <w:rFonts w:ascii="MS Gothic" w:eastAsia="MS Gothic" w:hAnsi="MS Gothic" w:cs="MS Gothic" w:hint="eastAsia"/>
        </w:rPr>
        <w:t> </w:t>
      </w:r>
      <w:r w:rsidRPr="00D11438">
        <w:t>FINAL STAGE USING WORD 6.0</w:t>
      </w:r>
    </w:p>
    <w:p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D11438" w:rsidRPr="00D11438" w:rsidRDefault="00EC5C8C" w:rsidP="00D11438">
      <w:pPr>
        <w:pStyle w:val="H2"/>
      </w:pPr>
      <w:r>
        <w:t>C</w:t>
      </w:r>
      <w:r w:rsidRPr="00791AA8">
        <w:t>.</w:t>
      </w:r>
      <w:r w:rsidR="00D11438" w:rsidRPr="007573E5">
        <w:rPr>
          <w:rFonts w:ascii="MS Gothic" w:eastAsia="MS Gothic" w:hAnsi="MS Gothic" w:cs="MS Gothic" w:hint="eastAsia"/>
        </w:rPr>
        <w:t> </w:t>
      </w:r>
      <w:r w:rsidRPr="00D11438">
        <w:t>REVIEW STAGE USING SCHOLARONE</w:t>
      </w:r>
      <w:r w:rsidRPr="00D11438">
        <w:rPr>
          <w:vertAlign w:val="superscript"/>
        </w:rPr>
        <w:t>®</w:t>
      </w:r>
      <w:r w:rsidRPr="00D11438">
        <w:t xml:space="preserve"> MANUSCRIPTS</w:t>
      </w:r>
    </w:p>
    <w:p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rsidR="00D11438" w:rsidRPr="00D11438" w:rsidRDefault="00EC5C8C" w:rsidP="00D11438">
      <w:pPr>
        <w:pStyle w:val="H2"/>
      </w:pPr>
      <w:r>
        <w:t>D</w:t>
      </w:r>
      <w:r w:rsidRPr="00791AA8">
        <w:t>.</w:t>
      </w:r>
      <w:r w:rsidR="00D11438" w:rsidRPr="007573E5">
        <w:rPr>
          <w:rFonts w:ascii="MS Gothic" w:eastAsia="MS Gothic" w:hAnsi="MS Gothic" w:cs="MS Gothic" w:hint="eastAsia"/>
        </w:rPr>
        <w:t> </w:t>
      </w:r>
      <w:r w:rsidRPr="00D11438">
        <w:t>FINAL STAGE USING SCHOLARONE</w:t>
      </w:r>
      <w:r>
        <w:t xml:space="preserve"> </w:t>
      </w:r>
      <w:r w:rsidRPr="00D11438">
        <w:t>MANUSCRIPTS</w:t>
      </w:r>
    </w:p>
    <w:p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rsidR="0001799E" w:rsidRPr="00D11438" w:rsidRDefault="00EC5C8C" w:rsidP="0001799E">
      <w:pPr>
        <w:pStyle w:val="H2"/>
      </w:pPr>
      <w:r>
        <w:t>E</w:t>
      </w:r>
      <w:r w:rsidRPr="00791AA8">
        <w:t>.</w:t>
      </w:r>
      <w:r w:rsidR="0001799E" w:rsidRPr="007573E5">
        <w:rPr>
          <w:rFonts w:ascii="MS Gothic" w:eastAsia="MS Gothic" w:hAnsi="MS Gothic" w:cs="MS Gothic" w:hint="eastAsia"/>
        </w:rPr>
        <w:t> </w:t>
      </w:r>
      <w:r w:rsidRPr="00D11438">
        <w:t>COPYRIGHT FORM</w:t>
      </w:r>
    </w:p>
    <w:p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rsidR="0001799E" w:rsidRPr="0001799E" w:rsidRDefault="0001799E" w:rsidP="0001799E">
      <w:pPr>
        <w:pStyle w:val="H1"/>
      </w:pPr>
      <w:r>
        <w:t>IX</w:t>
      </w:r>
      <w:r w:rsidRPr="005C3955">
        <w:t>.</w:t>
      </w:r>
      <w:r>
        <w:rPr>
          <w:rFonts w:ascii="MS Gothic" w:eastAsia="MS Gothic" w:hAnsi="MS Gothic" w:cs="MS Gothic"/>
        </w:rPr>
        <w:t> </w:t>
      </w:r>
      <w:r w:rsidRPr="0001799E">
        <w:t>IEEE PUBLISHING POLICY</w:t>
      </w:r>
    </w:p>
    <w:p w:rsidR="00BC4302" w:rsidRPr="00BC4302" w:rsidRDefault="0001799E" w:rsidP="00BC4302">
      <w:pPr>
        <w:pStyle w:val="PARA"/>
        <w:sectPr w:rsidR="00BC4302" w:rsidRPr="00BC4302" w:rsidSect="00422716">
          <w:footerReference w:type="default" r:id="rId18"/>
          <w:type w:val="continuous"/>
          <w:pgSz w:w="11520" w:h="15660" w:code="1"/>
          <w:pgMar w:top="1300" w:right="740" w:bottom="1040" w:left="740" w:header="360" w:footer="640" w:gutter="0"/>
          <w:cols w:num="2" w:space="400"/>
          <w:docGrid w:linePitch="360"/>
        </w:sectPr>
      </w:pPr>
      <w:r w:rsidRPr="00BC4302">
        <w:lastRenderedPageBreak/>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w:t>
      </w:r>
      <w:r w:rsidRPr="00BC4302">
        <w:t xml:space="preserve">manuscript. Do not publish “preliminary” data or results. The submitting author is responsible for obtaining agreement of all coauthors and any consent required from employers or sponsors before submitting an article. The IEEE Access </w:t>
      </w:r>
    </w:p>
    <w:p w:rsidR="0001799E" w:rsidRPr="00BC4302" w:rsidRDefault="0001799E" w:rsidP="00BC4302">
      <w:pPr>
        <w:pStyle w:val="PARA"/>
      </w:pPr>
      <w:r w:rsidRPr="00BC4302">
        <w:t>Department strongly discourages courtesy authorship; it is the obligation of the authors to cite only relevant prior work.</w:t>
      </w:r>
    </w:p>
    <w:p w:rsidR="0001799E" w:rsidRPr="00BC4302" w:rsidRDefault="0001799E" w:rsidP="00BC4302">
      <w:pPr>
        <w:pStyle w:val="PARAIndent"/>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rsidR="0001799E" w:rsidRPr="0001799E" w:rsidRDefault="0001799E" w:rsidP="0001799E">
      <w:pPr>
        <w:pStyle w:val="H1"/>
      </w:pPr>
      <w:r>
        <w:t>X</w:t>
      </w:r>
      <w:r w:rsidRPr="005C3955">
        <w:t>.</w:t>
      </w:r>
      <w:r>
        <w:rPr>
          <w:rFonts w:ascii="MS Gothic" w:eastAsia="MS Gothic" w:hAnsi="MS Gothic" w:cs="MS Gothic"/>
        </w:rPr>
        <w:t> </w:t>
      </w:r>
      <w:r w:rsidRPr="0001799E">
        <w:t>PUBLICATION PRINCIPLES</w:t>
      </w:r>
    </w:p>
    <w:p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01799E" w:rsidRDefault="0001799E" w:rsidP="0001799E">
      <w:pPr>
        <w:pStyle w:val="PARAIndent"/>
      </w:pPr>
      <w:r>
        <w:t>Authors should consider the following points:</w:t>
      </w:r>
    </w:p>
    <w:p w:rsidR="0001799E" w:rsidRDefault="0001799E" w:rsidP="0001799E">
      <w:pPr>
        <w:pStyle w:val="Text"/>
        <w:numPr>
          <w:ilvl w:val="0"/>
          <w:numId w:val="13"/>
        </w:numPr>
      </w:pPr>
      <w:r>
        <w:t xml:space="preserve">Technical papers submitted for publication must advance the state of knowledge and must cite relevant prior work. </w:t>
      </w:r>
    </w:p>
    <w:p w:rsidR="0001799E" w:rsidRDefault="0001799E" w:rsidP="0001799E">
      <w:pPr>
        <w:pStyle w:val="Text"/>
        <w:numPr>
          <w:ilvl w:val="0"/>
          <w:numId w:val="1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1799E" w:rsidRDefault="0001799E" w:rsidP="0001799E">
      <w:pPr>
        <w:pStyle w:val="Text"/>
        <w:numPr>
          <w:ilvl w:val="0"/>
          <w:numId w:val="13"/>
        </w:numPr>
      </w:pPr>
      <w:r>
        <w:t xml:space="preserve">Authors must convince both peer reviewers and the editors of the scientific and technical merit of a paper; the standards of proof are higher when extraordinary or unexpected results are reported. </w:t>
      </w:r>
    </w:p>
    <w:p w:rsidR="0001799E" w:rsidRDefault="0001799E" w:rsidP="0001799E">
      <w:pPr>
        <w:pStyle w:val="Text"/>
        <w:numPr>
          <w:ilvl w:val="0"/>
          <w:numId w:val="1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1799E" w:rsidRDefault="0001799E" w:rsidP="0001799E">
      <w:pPr>
        <w:pStyle w:val="Text"/>
        <w:numPr>
          <w:ilvl w:val="0"/>
          <w:numId w:val="13"/>
        </w:numPr>
      </w:pPr>
      <w:r>
        <w:t>Papers that describe ongoing work or announce the latest technical achievement, which are suitable for presentation at a professional conference, may not be appropriate for publication.</w:t>
      </w:r>
    </w:p>
    <w:p w:rsidR="0001799E" w:rsidRPr="0001799E" w:rsidRDefault="0001799E" w:rsidP="0001799E">
      <w:pPr>
        <w:pStyle w:val="H1"/>
      </w:pPr>
      <w:r w:rsidRPr="0001799E">
        <w:t>REFERENCES</w:t>
      </w: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rsidR="0001799E" w:rsidRPr="0001799E" w:rsidRDefault="0001799E" w:rsidP="0001799E">
      <w:pPr>
        <w:widowControl w:val="0"/>
        <w:autoSpaceDE w:val="0"/>
        <w:autoSpaceDN w:val="0"/>
        <w:adjustRightInd w:val="0"/>
        <w:ind w:right="-20"/>
      </w:pPr>
      <w:r w:rsidRPr="0001799E">
        <w:rPr>
          <w:i/>
          <w:iCs/>
        </w:rPr>
        <w:t>Examples:</w:t>
      </w:r>
    </w:p>
    <w:p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rsidR="0001799E" w:rsidRPr="0001799E" w:rsidRDefault="0001799E" w:rsidP="0001799E">
      <w:pPr>
        <w:autoSpaceDE w:val="0"/>
        <w:autoSpaceDN w:val="0"/>
        <w:adjustRightInd w:val="0"/>
        <w:rPr>
          <w:rFonts w:cs="TimesNewRomanPSMT"/>
          <w:i/>
        </w:rPr>
      </w:pPr>
      <w:r w:rsidRPr="0001799E">
        <w:rPr>
          <w:rFonts w:cs="TimesNewRomanPSMT"/>
          <w:i/>
        </w:rPr>
        <w:t>Examples:</w:t>
      </w:r>
    </w:p>
    <w:p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rsidR="0001799E" w:rsidRPr="0001799E" w:rsidRDefault="0001799E" w:rsidP="0001799E">
      <w:pPr>
        <w:widowControl w:val="0"/>
        <w:autoSpaceDE w:val="0"/>
        <w:autoSpaceDN w:val="0"/>
        <w:adjustRightInd w:val="0"/>
        <w:spacing w:before="37"/>
        <w:ind w:right="-20"/>
      </w:pPr>
      <w:r w:rsidRPr="0001799E">
        <w:rPr>
          <w:i/>
          <w:iCs/>
        </w:rPr>
        <w:t>Examples:</w:t>
      </w:r>
    </w:p>
    <w:p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rsidR="0001799E" w:rsidRPr="0001799E" w:rsidRDefault="0001799E" w:rsidP="00EC5C8C">
      <w:pPr>
        <w:pStyle w:val="References"/>
      </w:pPr>
      <w:r w:rsidRPr="0001799E">
        <w:lastRenderedPageBreak/>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rsidR="0001799E" w:rsidRPr="0001799E" w:rsidRDefault="0001799E" w:rsidP="0001799E">
      <w:pPr>
        <w:widowControl w:val="0"/>
        <w:autoSpaceDE w:val="0"/>
        <w:autoSpaceDN w:val="0"/>
        <w:adjustRightInd w:val="0"/>
        <w:spacing w:before="5" w:line="140" w:lineRule="exact"/>
        <w:rPr>
          <w:sz w:val="14"/>
          <w:szCs w:val="14"/>
        </w:rPr>
      </w:pPr>
    </w:p>
    <w:p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rsidR="0001799E" w:rsidRDefault="0001799E" w:rsidP="0001799E">
      <w:pPr>
        <w:widowControl w:val="0"/>
        <w:autoSpaceDE w:val="0"/>
        <w:autoSpaceDN w:val="0"/>
        <w:adjustRightInd w:val="0"/>
        <w:spacing w:line="239" w:lineRule="auto"/>
        <w:ind w:right="358"/>
        <w:rPr>
          <w:i/>
          <w:iCs/>
        </w:rPr>
      </w:pPr>
      <w:r w:rsidRPr="0001799E">
        <w:rPr>
          <w:i/>
          <w:iCs/>
        </w:rPr>
        <w:t>Examples:</w:t>
      </w:r>
    </w:p>
    <w:p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rsidR="0001799E" w:rsidRPr="0001799E" w:rsidRDefault="0001799E" w:rsidP="0001799E">
      <w:pPr>
        <w:widowControl w:val="0"/>
        <w:autoSpaceDE w:val="0"/>
        <w:autoSpaceDN w:val="0"/>
        <w:adjustRightInd w:val="0"/>
        <w:ind w:right="-20"/>
      </w:pPr>
      <w:r w:rsidRPr="0001799E">
        <w:rPr>
          <w:i/>
          <w:iCs/>
        </w:rPr>
        <w:t>Example:</w:t>
      </w:r>
    </w:p>
    <w:p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rsidR="0001799E" w:rsidRPr="0001799E" w:rsidRDefault="0001799E" w:rsidP="0001799E">
      <w:pPr>
        <w:widowControl w:val="0"/>
        <w:autoSpaceDE w:val="0"/>
        <w:autoSpaceDN w:val="0"/>
        <w:adjustRightInd w:val="0"/>
        <w:spacing w:before="1" w:line="180" w:lineRule="exact"/>
        <w:rPr>
          <w:sz w:val="18"/>
          <w:szCs w:val="18"/>
        </w:rPr>
      </w:pPr>
    </w:p>
    <w:p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rsidR="0001799E" w:rsidRPr="0001799E" w:rsidRDefault="0001799E" w:rsidP="0001799E">
      <w:pPr>
        <w:widowControl w:val="0"/>
        <w:autoSpaceDE w:val="0"/>
        <w:autoSpaceDN w:val="0"/>
        <w:adjustRightInd w:val="0"/>
        <w:spacing w:before="5" w:line="140" w:lineRule="exact"/>
        <w:rPr>
          <w:sz w:val="14"/>
          <w:szCs w:val="14"/>
        </w:rPr>
      </w:pPr>
    </w:p>
    <w:p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rsidR="0001799E" w:rsidRPr="0001799E" w:rsidRDefault="0001799E" w:rsidP="0001799E">
      <w:pPr>
        <w:widowControl w:val="0"/>
        <w:autoSpaceDE w:val="0"/>
        <w:autoSpaceDN w:val="0"/>
        <w:adjustRightInd w:val="0"/>
        <w:spacing w:before="37"/>
        <w:ind w:right="-20"/>
      </w:pPr>
      <w:r w:rsidRPr="0001799E">
        <w:rPr>
          <w:i/>
          <w:iCs/>
        </w:rPr>
        <w:t>Example:</w:t>
      </w:r>
    </w:p>
    <w:p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rsidR="0001799E" w:rsidRPr="0001799E" w:rsidRDefault="0001799E" w:rsidP="0001799E">
      <w:pPr>
        <w:widowControl w:val="0"/>
        <w:autoSpaceDE w:val="0"/>
        <w:autoSpaceDN w:val="0"/>
        <w:adjustRightInd w:val="0"/>
        <w:spacing w:before="6" w:line="140" w:lineRule="exact"/>
        <w:rPr>
          <w:sz w:val="14"/>
          <w:szCs w:val="14"/>
        </w:r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rsidR="0001799E" w:rsidRPr="0001799E" w:rsidRDefault="0001799E" w:rsidP="0001799E">
      <w:pPr>
        <w:widowControl w:val="0"/>
        <w:autoSpaceDE w:val="0"/>
        <w:autoSpaceDN w:val="0"/>
        <w:adjustRightInd w:val="0"/>
        <w:ind w:right="-20"/>
        <w:rPr>
          <w:i/>
        </w:rPr>
      </w:pPr>
      <w:r w:rsidRPr="0001799E">
        <w:rPr>
          <w:rFonts w:cs="TimesNewRomanPSMT"/>
          <w:i/>
        </w:rPr>
        <w:t>Example:</w:t>
      </w:r>
    </w:p>
    <w:p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rsidR="0001799E" w:rsidRPr="0001799E" w:rsidRDefault="0001799E" w:rsidP="0001799E">
      <w:pPr>
        <w:rPr>
          <w:sz w:val="16"/>
          <w:szCs w:val="16"/>
        </w:rPr>
      </w:pPr>
      <w:r w:rsidRPr="0001799E">
        <w:rPr>
          <w:sz w:val="16"/>
          <w:szCs w:val="16"/>
        </w:rPr>
        <w:t>a) J. K. Author, “Title of thesis,” M.S. thesis, Abbrev. Dept., Abbrev. Univ., City of Univ., Abbrev. State, year.</w:t>
      </w:r>
    </w:p>
    <w:p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J. O. Williams, “Narrow-band analyzer,” Ph.D. dissertation, Dept. Elect. Eng., Harvard Univ., Cambridge, MA, USA, 1993.</w:t>
      </w:r>
    </w:p>
    <w:p w:rsidR="0001799E" w:rsidRPr="0001799E" w:rsidRDefault="0001799E" w:rsidP="0001799E">
      <w:pPr>
        <w:pStyle w:val="References"/>
      </w:pPr>
      <w:r w:rsidRPr="0001799E">
        <w:t>N. Kawasaki, “Parametric study of thermal and chemical nonequilibrium nozzle flow,” M.S. thesis, Dept. Electron. Eng., Osaka Univ., Osaka, Japan, 1993.</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rsidR="0001799E" w:rsidRPr="0001799E" w:rsidRDefault="0001799E" w:rsidP="0001799E">
      <w:pPr>
        <w:rPr>
          <w:sz w:val="16"/>
          <w:szCs w:val="16"/>
        </w:rPr>
      </w:pPr>
      <w:r w:rsidRPr="0001799E">
        <w:rPr>
          <w:sz w:val="16"/>
          <w:szCs w:val="16"/>
        </w:rPr>
        <w:t>a) J. K. Author, private communication, Abbrev. Month, year.</w:t>
      </w:r>
    </w:p>
    <w:p w:rsidR="0001799E" w:rsidRPr="0001799E" w:rsidRDefault="0001799E" w:rsidP="0001799E">
      <w:pPr>
        <w:rPr>
          <w:sz w:val="16"/>
          <w:szCs w:val="16"/>
        </w:rPr>
      </w:pPr>
      <w:r w:rsidRPr="0001799E">
        <w:rPr>
          <w:sz w:val="16"/>
          <w:szCs w:val="16"/>
        </w:rPr>
        <w:t>b) J. K. Author, “Title of paper,” unpublished.</w:t>
      </w:r>
    </w:p>
    <w:p w:rsidR="0001799E" w:rsidRPr="0001799E" w:rsidRDefault="0001799E" w:rsidP="0001799E">
      <w:pPr>
        <w:rPr>
          <w:sz w:val="16"/>
          <w:szCs w:val="16"/>
        </w:rPr>
      </w:pPr>
      <w:r w:rsidRPr="0001799E">
        <w:rPr>
          <w:sz w:val="16"/>
          <w:szCs w:val="16"/>
        </w:rPr>
        <w:t>c) J. K. Author, “Title of paper,” to be published.</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A. Harrison, private communication, May 1995.</w:t>
      </w:r>
    </w:p>
    <w:p w:rsidR="0001799E" w:rsidRPr="0001799E" w:rsidRDefault="0001799E" w:rsidP="0001799E">
      <w:pPr>
        <w:pStyle w:val="References"/>
      </w:pPr>
      <w:r w:rsidRPr="0001799E">
        <w:t>B. Smith, “An approach to graphs of linear forms,” unpublished.</w:t>
      </w:r>
    </w:p>
    <w:p w:rsidR="0001799E" w:rsidRPr="0001799E" w:rsidRDefault="0001799E" w:rsidP="0001799E">
      <w:pPr>
        <w:pStyle w:val="References"/>
      </w:pPr>
      <w:r w:rsidRPr="0001799E">
        <w:t>A. Brahms, “Representation error for real numbers in binary computer arithmetic,” IEEE Computer Group Repository, Paper R-67-85.</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rsidR="0001799E" w:rsidRPr="0001799E" w:rsidRDefault="0001799E" w:rsidP="0001799E">
      <w:pPr>
        <w:pStyle w:val="References"/>
        <w:numPr>
          <w:ilvl w:val="0"/>
          <w:numId w:val="0"/>
        </w:numPr>
        <w:ind w:left="540" w:hanging="360"/>
        <w:rPr>
          <w:rFonts w:cs="TimesNewRomanPSMT"/>
        </w:rPr>
      </w:pPr>
    </w:p>
    <w:p w:rsidR="00EC5C8C" w:rsidRDefault="00EC5C8C" w:rsidP="0001799E">
      <w:pPr>
        <w:rPr>
          <w:i/>
        </w:rPr>
      </w:pPr>
    </w:p>
    <w:p w:rsidR="00EC5C8C" w:rsidRDefault="00EC5C8C" w:rsidP="0001799E">
      <w:pPr>
        <w:rPr>
          <w:i/>
        </w:rPr>
      </w:pPr>
    </w:p>
    <w:p w:rsidR="0001799E" w:rsidRPr="0001799E" w:rsidRDefault="0001799E" w:rsidP="0001799E">
      <w:pPr>
        <w:rPr>
          <w:rFonts w:cs="Arial"/>
          <w:i/>
          <w:sz w:val="19"/>
          <w:szCs w:val="19"/>
        </w:rPr>
      </w:pPr>
      <w:r w:rsidRPr="0001799E">
        <w:rPr>
          <w:i/>
        </w:rPr>
        <w:t>Article number in reference examples:</w:t>
      </w:r>
    </w:p>
    <w:p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rsidR="0062439C" w:rsidRDefault="00AF5C1A" w:rsidP="00622CC0">
      <w:pPr>
        <w:pStyle w:val="AUBios"/>
      </w:pPr>
      <w:r>
        <w:rPr>
          <w:noProof/>
        </w:rPr>
        <w:drawing>
          <wp:anchor distT="0" distB="0" distL="114300" distR="114300" simplePos="0" relativeHeight="251656704" behindDoc="0" locked="0" layoutInCell="1" allowOverlap="1">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rsidR="00EC5C8C" w:rsidRDefault="00EC5C8C" w:rsidP="00EC5C8C">
      <w:pPr>
        <w:pStyle w:val="AUBiosNoSpace"/>
        <w:ind w:firstLine="0"/>
      </w:pPr>
    </w:p>
    <w:p w:rsidR="00EC5C8C" w:rsidRDefault="00EC5C8C"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Pr="00E96A3A" w:rsidRDefault="0003253A" w:rsidP="0003253A">
      <w:pPr>
        <w:pStyle w:val="FigureCaption"/>
        <w:rPr>
          <w:sz w:val="20"/>
          <w:szCs w:val="20"/>
        </w:rPr>
      </w:pPr>
    </w:p>
    <w:p w:rsidR="0003253A" w:rsidRPr="0003253A" w:rsidRDefault="00AF5C1A" w:rsidP="0003253A">
      <w:pPr>
        <w:adjustRightInd w:val="0"/>
        <w:jc w:val="both"/>
        <w:rPr>
          <w:sz w:val="16"/>
          <w:szCs w:val="16"/>
        </w:rPr>
      </w:pPr>
      <w:r w:rsidRPr="0003253A">
        <w:rPr>
          <w:rFonts w:ascii="Helvetica" w:hAnsi="Helvetica"/>
          <w:noProof/>
          <w:sz w:val="16"/>
          <w:szCs w:val="16"/>
        </w:rPr>
        <w:drawing>
          <wp:anchor distT="0" distB="0" distL="114300" distR="114300" simplePos="0" relativeHeight="251657728"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Pr="0003253A" w:rsidRDefault="00AF5C1A" w:rsidP="0003253A">
      <w:pPr>
        <w:adjustRightInd w:val="0"/>
        <w:jc w:val="both"/>
        <w:rPr>
          <w:rFonts w:ascii="Times-Roman" w:hAnsi="Times-Roman" w:cs="Times-Roman"/>
          <w:sz w:val="16"/>
          <w:szCs w:val="16"/>
        </w:rPr>
      </w:pPr>
      <w:r w:rsidRPr="0003253A">
        <w:rPr>
          <w:rFonts w:ascii="Helvetica" w:hAnsi="Helvetica"/>
          <w:noProof/>
          <w:sz w:val="16"/>
          <w:szCs w:val="16"/>
        </w:rPr>
        <w:drawing>
          <wp:anchor distT="0" distB="118745" distL="114300" distR="114300" simplePos="0" relativeHeight="251658752"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03253A" w:rsidRPr="006A0B53" w:rsidRDefault="0003253A" w:rsidP="0003253A">
      <w:pPr>
        <w:pStyle w:val="AUBiosNoSpace"/>
        <w:ind w:firstLine="0"/>
      </w:pPr>
    </w:p>
    <w:sectPr w:rsidR="0003253A" w:rsidRPr="006A0B53"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4731" w:rsidRDefault="00CC4731">
      <w:r>
        <w:separator/>
      </w:r>
    </w:p>
  </w:endnote>
  <w:endnote w:type="continuationSeparator" w:id="0">
    <w:p w:rsidR="00CC4731" w:rsidRDefault="00CC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50000000009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4731" w:rsidRDefault="00CC4731">
      <w:r>
        <w:separator/>
      </w:r>
    </w:p>
  </w:footnote>
  <w:footnote w:type="continuationSeparator" w:id="0">
    <w:p w:rsidR="00CC4731" w:rsidRDefault="00CC4731">
      <w:r>
        <w:continuationSeparator/>
      </w:r>
    </w:p>
  </w:footnote>
  <w:footnote w:id="1">
    <w:p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799E" w:rsidRPr="00CB191E" w:rsidRDefault="009B204A" w:rsidP="009B204A">
    <w:pPr>
      <w:pStyle w:val="Header"/>
      <w:pBdr>
        <w:bottom w:val="single" w:sz="4" w:space="3" w:color="auto"/>
      </w:pBdr>
      <w:tabs>
        <w:tab w:val="clear" w:pos="4320"/>
        <w:tab w:val="left" w:pos="5472"/>
      </w:tabs>
      <w:jc w:val="right"/>
      <w:rPr>
        <w:rFonts w:ascii="Helvetica" w:hAnsi="Helvetica" w:cs="FormataOTF-Reg"/>
        <w:sz w:val="14"/>
        <w:szCs w:val="14"/>
      </w:rPr>
    </w:pPr>
    <w:proofErr w:type="spellStart"/>
    <w:proofErr w:type="gramStart"/>
    <w:r>
      <w:rPr>
        <w:rFonts w:ascii="Helvetica" w:hAnsi="Helvetica" w:cs="FormataOTF-Reg"/>
        <w:sz w:val="14"/>
        <w:szCs w:val="14"/>
      </w:rPr>
      <w:t>Y.Zhang</w:t>
    </w:r>
    <w:proofErr w:type="spellEnd"/>
    <w:proofErr w:type="gramEnd"/>
    <w:r>
      <w:rPr>
        <w:rFonts w:ascii="Helvetica" w:hAnsi="Helvetica" w:cs="FormataOTF-Reg"/>
        <w:sz w:val="14"/>
        <w:szCs w:val="14"/>
      </w:rPr>
      <w:t xml:space="preserve"> (2020), </w:t>
    </w:r>
    <w:r w:rsidRPr="009B204A">
      <w:rPr>
        <w:rFonts w:ascii="Helvetica" w:hAnsi="Helvetica" w:cs="FormataOTF-Reg"/>
        <w:sz w:val="14"/>
        <w:szCs w:val="14"/>
      </w:rPr>
      <w:t>Improving hotel demand forecasting accuracy by integrating machine learning with pick-up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lvlOverride w:ilvl="0">
      <w:lvl w:ilvl="0">
        <w:start w:val="1"/>
        <w:numFmt w:val="decimal"/>
        <w:lvlText w:val="%1."/>
        <w:legacy w:legacy="1" w:legacySpace="0" w:legacyIndent="360"/>
        <w:lvlJc w:val="left"/>
        <w:pPr>
          <w:ind w:left="360" w:hanging="360"/>
        </w:pPr>
      </w:lvl>
    </w:lvlOverride>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423FC"/>
    <w:rsid w:val="0044242A"/>
    <w:rsid w:val="00442439"/>
    <w:rsid w:val="004437D2"/>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331C"/>
    <w:rsid w:val="00785008"/>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709A"/>
    <w:rsid w:val="00AF5C1A"/>
    <w:rsid w:val="00AF7E75"/>
    <w:rsid w:val="00B00868"/>
    <w:rsid w:val="00B06847"/>
    <w:rsid w:val="00B07042"/>
    <w:rsid w:val="00B071FD"/>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A731C"/>
    <w:rsid w:val="00CB00BE"/>
    <w:rsid w:val="00CB13E7"/>
    <w:rsid w:val="00CB191E"/>
    <w:rsid w:val="00CB2604"/>
    <w:rsid w:val="00CB3F7E"/>
    <w:rsid w:val="00CB7E0F"/>
    <w:rsid w:val="00CC06D9"/>
    <w:rsid w:val="00CC32B5"/>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59D1"/>
    <w:rsid w:val="00DC7D0F"/>
    <w:rsid w:val="00DD2B2D"/>
    <w:rsid w:val="00DD6641"/>
    <w:rsid w:val="00DE168E"/>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0C3D"/>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6447</Words>
  <Characters>36749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43110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1</cp:revision>
  <cp:lastPrinted>2017-09-13T20:58:00Z</cp:lastPrinted>
  <dcterms:created xsi:type="dcterms:W3CDTF">2019-01-18T15:21:00Z</dcterms:created>
  <dcterms:modified xsi:type="dcterms:W3CDTF">2020-06-09T13:36:00Z</dcterms:modified>
</cp:coreProperties>
</file>