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xml:space="preserve">. Pick-up methods, which scale current reservations on hand by parameters retrieved from historical observations, have been long adopted in the hotel industry because of its straightforwardness </w:t>
      </w:r>
      <w:r w:rsidR="003F00F5">
        <w:rPr>
          <w:lang w:eastAsia="zh-CN"/>
        </w:rPr>
        <w:t>and conciseness. However, classic pick-up methods are not able to capture the complex relationship between the current bookings and future demand. Therefore, this</w:t>
      </w:r>
      <w:r w:rsidR="003F00F5">
        <w:t xml:space="preserve">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in both academic and 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CA2988" w:rsidP="00CA2988">
      <w:pPr>
        <w:pStyle w:val="PARAIndent"/>
      </w:pPr>
      <w:r>
        <w:t xml:space="preserve">In recent years, machine learning method has been picking up attentions among both the industry and academia. Machine learning is a statistical method (add more definition about machine learning) and it has the benefit of (flexible, catching patterns, etc.) </w:t>
      </w:r>
    </w:p>
    <w:p w:rsidR="00CA2988" w:rsidRDefault="00CA2988" w:rsidP="00CA2988">
      <w:pPr>
        <w:pStyle w:val="PARAIndent"/>
      </w:pPr>
      <w:r>
        <w:lastRenderedPageBreak/>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CA2988">
      <w:pPr>
        <w:pStyle w:val="PARAIndent"/>
        <w:ind w:firstLine="0"/>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 xml:space="preserve">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 (1.1). Instead, multiplicative pick-up models regard the ROH as a certain ratio of the final arrivals (1.2): </w:t>
      </w:r>
    </w:p>
    <w:p w:rsidR="00CA2988" w:rsidRDefault="00CA2988" w:rsidP="00CA2988">
      <w:pPr>
        <w:pStyle w:val="PARA"/>
      </w:pPr>
    </w:p>
    <w:p w:rsidR="00CA2988" w:rsidRDefault="00CA2988" w:rsidP="00CA2988">
      <w:pPr>
        <w:pStyle w:val="PARA"/>
      </w:pPr>
    </w:p>
    <w:p w:rsidR="00CA2988" w:rsidRPr="00CA2988" w:rsidRDefault="003F00F5"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(1.2)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0</m:t>
            </m:r>
            <m:r>
              <m:rPr>
                <m:sty m:val="p"/>
              </m:rPr>
              <w:rPr>
                <w:rFonts w:ascii="Cambria Math" w:hAnsi="Cambria Math"/>
              </w:rPr>
              <m:t xml:space="preserve">,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w:t>
      </w:r>
      <w:r w:rsidRPr="00CA2988">
        <w:t xml:space="preserve">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 xml:space="preserve">Linear regression wasn’t traditionally regarded as a pick-up model in hotel </w:t>
      </w:r>
      <w:proofErr w:type="gramStart"/>
      <w:r w:rsidRPr="00CA2988">
        <w:t>forecasting,</w:t>
      </w:r>
      <w:proofErr w:type="gramEnd"/>
      <w:r w:rsidRPr="00CA2988">
        <w:t xml:space="preserve"> however,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3F00F5"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(2)</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CA2988" w:rsidRDefault="00CA2988" w:rsidP="00CA2988">
      <w:pPr>
        <w:pStyle w:val="PARAIndent"/>
      </w:pPr>
      <w:r w:rsidRPr="00CA2988">
        <w:t xml:space="preserve">Machine learning </w:t>
      </w:r>
      <w:r w:rsidRPr="00CA2988">
        <w:rPr>
          <w:b/>
          <w:bCs/>
          <w:highlight w:val="yellow"/>
        </w:rPr>
        <w:t>methods (insert a general description).</w:t>
      </w:r>
      <w:r w:rsidRPr="00CA2988">
        <w:t xml:space="preserve"> In this research, we combined six mainstream machine learning models with the concept of advance booking information to forecast hotel demand.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3F00F5"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m:t>
        </m:r>
        <m:r>
          <w:rPr>
            <w:rFonts w:ascii="Cambria Math" w:hAnsi="Cambria Math"/>
            <w:sz w:val="18"/>
            <w:szCs w:val="18"/>
          </w:rPr>
          <m:t>,       (2.1)</m:t>
        </m:r>
      </m:oMath>
    </w:p>
    <w:p w:rsidR="00CA2988" w:rsidRPr="00CA2988" w:rsidRDefault="003F00F5" w:rsidP="00CA2988">
      <w:pPr>
        <w:spacing w:before="120" w:after="120" w:line="360" w:lineRule="auto"/>
        <w:jc w:val="center"/>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CA2988" w:rsidRDefault="00CA2988" w:rsidP="00CA298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 xml:space="preserve">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w:t>
      </w:r>
      <w:r w:rsidRPr="00272069">
        <w:rPr>
          <w:rFonts w:cs="Times New Roman"/>
        </w:rPr>
        <w:lastRenderedPageBreak/>
        <w:t>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eastAsia="Times New Roman"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m:t>
              </m:r>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eastAsia="Times New Roman" w:cs="Times New Roman"/>
          <w:sz w:val="18"/>
          <w:szCs w:val="18"/>
        </w:rPr>
      </w:pPr>
    </w:p>
    <w:p w:rsidR="0060727F" w:rsidRPr="0060727F" w:rsidRDefault="0060727F" w:rsidP="0060727F">
      <w:pPr>
        <w:pStyle w:val="PARAIndent"/>
        <w:jc w:val="center"/>
        <w:rPr>
          <w:rFonts w:eastAsia="Times New Roman" w:cs="Times New Roman"/>
          <w:sz w:val="18"/>
          <w:szCs w:val="18"/>
        </w:rPr>
      </w:pPr>
      <m:oMath>
        <m:r>
          <w:rPr>
            <w:rFonts w:ascii="Cambria Math" w:hAnsi="Cambria Math" w:cs="Times New Roman"/>
            <w:sz w:val="18"/>
            <w:szCs w:val="18"/>
          </w:rPr>
          <m:t> </m:t>
        </m:r>
        <m:acc>
          <m:accPr>
            <m:ctrlPr>
              <w:rPr>
                <w:rFonts w:ascii="Cambria Math" w:eastAsia="Times New Roman"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eastAsia="Times New Roman"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w:t>
      </w:r>
      <w:proofErr w:type="gramStart"/>
      <w:r w:rsidR="00C34DD6">
        <w:rPr>
          <w:rFonts w:cs="Times New Roman"/>
        </w:rPr>
        <w:t>parameter  values</w:t>
      </w:r>
      <w:proofErr w:type="gramEnd"/>
      <w:r w:rsidR="00C34DD6">
        <w:rPr>
          <w:rFonts w:cs="Times New Roman"/>
        </w:rPr>
        <w:t>,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2359F8" w:rsidRDefault="003C4EA9" w:rsidP="00A44011">
      <w:pPr>
        <w:pStyle w:val="PARAIndent"/>
        <w:rPr>
          <w:rFonts w:cs="Times New Roman"/>
        </w:rPr>
      </w:pPr>
      <w:r>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Pr>
          <w:rFonts w:cs="Times New Roman"/>
        </w:rPr>
        <w:t xml:space="preserve">For DBA = </w:t>
      </w:r>
      <m:oMath>
        <m:r>
          <w:rPr>
            <w:rFonts w:ascii="Cambria Math" w:hAnsi="Cambria Math" w:cs="Times New Roman"/>
          </w:rPr>
          <m:t>t-t'</m:t>
        </m:r>
      </m:oMath>
      <w:r w:rsidR="002359F8">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Pr>
          <w:rFonts w:cs="Times New Roman"/>
        </w:rPr>
        <w:t xml:space="preserve"> into </w:t>
      </w:r>
      <m:oMath>
        <m:r>
          <w:rPr>
            <w:rFonts w:ascii="Cambria Math" w:hAnsi="Cambria Math" w:cs="Times New Roman"/>
          </w:rPr>
          <m:t>J</m:t>
        </m:r>
      </m:oMath>
      <w:r w:rsidR="002359F8">
        <w:rPr>
          <w:rFonts w:cs="Times New Roman"/>
        </w:rPr>
        <w:t xml:space="preserve"> distinct and non-overlapping regions,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oMath>
      <w:r w:rsidR="002359F8">
        <w:rPr>
          <w:rFonts w:cs="Times New Roman"/>
        </w:rPr>
        <w:t xml:space="preserve">. </w:t>
      </w:r>
      <w:r w:rsidR="002359F8">
        <w:rPr>
          <w:rFonts w:cs="Times New Roman"/>
        </w:rPr>
        <w:t xml:space="preserve">Each region is selected by trying out various splits. </w:t>
      </w:r>
      <w:r w:rsidR="00A44011">
        <w:rPr>
          <w:rFonts w:cs="Times New Roman"/>
        </w:rPr>
        <w:t xml:space="preserve">In other words, </w:t>
      </w:r>
      <m:oMath>
        <m:r>
          <w:rPr>
            <w:rFonts w:ascii="Cambria Math" w:hAnsi="Cambria Math" w:cs="Times New Roman"/>
            <w:sz w:val="18"/>
            <w:szCs w:val="18"/>
          </w:rPr>
          <m:t> </m:t>
        </m:r>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oMath>
      <w:r w:rsidR="00A44011">
        <w:rPr>
          <w:rFonts w:cs="Times New Roman"/>
          <w:sz w:val="18"/>
          <w:szCs w:val="18"/>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m:t>
        </m:r>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Pr>
          <w:rFonts w:cs="Times New Roman"/>
          <w:sz w:val="18"/>
          <w:szCs w:val="18"/>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m:t>
        </m:r>
        <m:r>
          <w:rPr>
            <w:rFonts w:ascii="Cambria Math" w:hAnsi="Cambria Math" w:cs="Times New Roman"/>
            <w:sz w:val="18"/>
            <w:szCs w:val="18"/>
          </w:rPr>
          <m:t>s}</m:t>
        </m:r>
      </m:oMath>
      <w:r w:rsidR="00A44011">
        <w:rPr>
          <w:rFonts w:cs="Times New Roman"/>
          <w:sz w:val="18"/>
          <w:szCs w:val="18"/>
        </w:rPr>
        <w:t xml:space="preserve">, then whichever </w:t>
      </w:r>
      <m:oMath>
        <m:r>
          <w:rPr>
            <w:rFonts w:ascii="Cambria Math" w:hAnsi="Cambria Math" w:cs="Times New Roman"/>
            <w:sz w:val="18"/>
            <w:szCs w:val="18"/>
          </w:rPr>
          <m:t>s</m:t>
        </m:r>
      </m:oMath>
      <w:r w:rsidR="00A44011">
        <w:rPr>
          <w:rFonts w:cs="Times New Roman"/>
          <w:sz w:val="18"/>
          <w:szCs w:val="18"/>
        </w:rPr>
        <w:t xml:space="preserve"> generates the lowest RSS (Formula 3.2) is selected: </w:t>
      </w:r>
    </w:p>
    <w:p w:rsidR="002359F8" w:rsidRDefault="002359F8" w:rsidP="003C4EA9">
      <w:pPr>
        <w:pStyle w:val="PARAIndent"/>
        <w:rPr>
          <w:rFonts w:cs="Times New Roman"/>
        </w:rPr>
      </w:pPr>
    </w:p>
    <w:p w:rsidR="002359F8" w:rsidRPr="002359F8" w:rsidRDefault="002359F8" w:rsidP="003C4EA9">
      <w:pPr>
        <w:pStyle w:val="PARAIndent"/>
        <w:rPr>
          <w:rFonts w:cs="Times New Roman"/>
          <w:sz w:val="18"/>
          <w:szCs w:val="18"/>
        </w:rPr>
      </w:pPr>
      <m:oMathPara>
        <m:oMath>
          <m:nary>
            <m:naryPr>
              <m:chr m:val="∑"/>
              <m:limLoc m:val="undOvr"/>
              <m:ctrlPr>
                <w:rPr>
                  <w:rFonts w:ascii="Cambria Math" w:eastAsia="Times New Roman"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eastAsia="Times New Roman" w:hAnsi="Cambria Math" w:cs="Times New Roman"/>
                      <w:i/>
                      <w:sz w:val="18"/>
                      <w:szCs w:val="18"/>
                    </w:rPr>
                  </m:ctrlPr>
                </m:naryPr>
                <m:sub>
                  <m:r>
                    <w:rPr>
                      <w:rFonts w:ascii="Cambria Math" w:hAnsi="Cambria Math" w:cs="Times New Roman"/>
                      <w:sz w:val="18"/>
                      <w:szCs w:val="18"/>
                    </w:rPr>
                    <m:t>i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e>
                  <m:sSup>
                    <m:sSupPr>
                      <m:ctrlPr>
                        <w:rPr>
                          <w:rFonts w:ascii="Cambria Math" w:eastAsia="Times New Roman"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eastAsia="Times New Roman"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e>
              </m:nary>
            </m:e>
          </m:nary>
        </m:oMath>
      </m:oMathPara>
    </w:p>
    <w:p w:rsidR="002359F8" w:rsidRDefault="002359F8" w:rsidP="002359F8">
      <w:pPr>
        <w:pStyle w:val="PARAIndent"/>
        <w:ind w:firstLine="0"/>
        <w:rPr>
          <w:rFonts w:cs="Times New Roman"/>
        </w:rPr>
      </w:pPr>
    </w:p>
    <w:p w:rsidR="00A44011" w:rsidRDefault="002359F8" w:rsidP="00A44011">
      <w:pPr>
        <w:pStyle w:val="PARAIndent"/>
        <w:ind w:firstLine="0"/>
        <w:rPr>
          <w:rFonts w:cs="Times New Roman"/>
        </w:rPr>
      </w:pPr>
      <w:r>
        <w:rPr>
          <w:rFonts w:cs="Times New Roman"/>
        </w:rPr>
        <w:t xml:space="preserve">where </w:t>
      </w:r>
      <m:oMath>
        <m:r>
          <w:rPr>
            <w:rFonts w:ascii="Cambria Math" w:hAnsi="Cambria Math" w:cs="Times New Roman"/>
            <w:sz w:val="18"/>
            <w:szCs w:val="18"/>
          </w:rPr>
          <m:t> </m:t>
        </m:r>
        <m:acc>
          <m:accPr>
            <m:ctrlPr>
              <w:rPr>
                <w:rFonts w:ascii="Cambria Math" w:eastAsia="Times New Roman"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Pr>
          <w:rFonts w:cs="Times New Roman"/>
          <w:sz w:val="18"/>
          <w:szCs w:val="18"/>
        </w:rPr>
        <w:t xml:space="preserve"> is the mean response for the observations within the </w:t>
      </w:r>
      <m:oMath>
        <m:r>
          <w:rPr>
            <w:rFonts w:ascii="Cambria Math" w:hAnsi="Cambria Math" w:cs="Times New Roman"/>
            <w:sz w:val="18"/>
            <w:szCs w:val="18"/>
          </w:rPr>
          <m:t> </m:t>
        </m:r>
        <m:r>
          <w:rPr>
            <w:rFonts w:ascii="Cambria Math" w:hAnsi="Cambria Math" w:cs="Times New Roman"/>
            <w:sz w:val="18"/>
            <w:szCs w:val="18"/>
          </w:rPr>
          <m:t>j</m:t>
        </m:r>
      </m:oMath>
      <w:r>
        <w:rPr>
          <w:rFonts w:cs="Times New Roman"/>
          <w:sz w:val="18"/>
          <w:szCs w:val="18"/>
        </w:rPr>
        <w:t xml:space="preserve">th </w:t>
      </w:r>
      <w:proofErr w:type="gramStart"/>
      <w:r>
        <w:rPr>
          <w:rFonts w:cs="Times New Roman"/>
          <w:sz w:val="18"/>
          <w:szCs w:val="18"/>
        </w:rPr>
        <w:t>region.</w:t>
      </w:r>
      <w:proofErr w:type="gramEnd"/>
      <w:r>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lang w:eastAsia="zh-CN"/>
        </w:rPr>
      </w:pPr>
      <w:r>
        <w:rPr>
          <w:rFonts w:cs="Times New Roman"/>
        </w:rPr>
        <w:t xml:space="preserve">Random forest </w:t>
      </w:r>
      <w:r w:rsidR="00A44011">
        <w:rPr>
          <w:rFonts w:cs="Times New Roman"/>
        </w:rPr>
        <w:t xml:space="preserve">makes up decision tree’s </w:t>
      </w:r>
      <w:r w:rsidR="00A44011">
        <w:rPr>
          <w:rFonts w:cs="Times New Roman"/>
          <w:lang w:eastAsia="zh-CN"/>
        </w:rPr>
        <w:t xml:space="preserve">flaw by reducing variance with a method called bootstrap. </w:t>
      </w:r>
      <w:proofErr w:type="gramStart"/>
      <w:r w:rsidR="00A44011">
        <w:rPr>
          <w:rFonts w:cs="Times New Roman"/>
        </w:rPr>
        <w:t>It</w:t>
      </w:r>
      <w:proofErr w:type="gramEnd"/>
      <w:r w:rsidR="00A44011">
        <w:rPr>
          <w:rFonts w:cs="Times New Roman"/>
        </w:rPr>
        <w:t xml:space="preserve"> </w:t>
      </w:r>
      <w:r>
        <w:rPr>
          <w:rFonts w:cs="Times New Roman"/>
        </w:rPr>
        <w:t xml:space="preserve">subsets predictors randomly then generate trees using given predictors. </w:t>
      </w:r>
      <w:r w:rsidR="00A44011">
        <w:rPr>
          <w:rFonts w:cs="Times New Roman"/>
        </w:rPr>
        <w:t>Random forest usually ha</w:t>
      </w:r>
      <w:r w:rsidR="00097307">
        <w:rPr>
          <w:rFonts w:cs="Times New Roman"/>
        </w:rPr>
        <w:t>s</w:t>
      </w:r>
      <w:r w:rsidR="00A44011">
        <w:rPr>
          <w:rFonts w:cs="Times New Roman"/>
        </w:rPr>
        <w:t xml:space="preserve"> higher accuracy than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8D6FA6" w:rsidP="008D6FA6">
      <w:pPr>
        <w:pStyle w:val="PARAIndent"/>
        <w:rPr>
          <w:rFonts w:cs="Times New Roman"/>
        </w:rPr>
      </w:pPr>
      <w:r>
        <w:rPr>
          <w:rFonts w:cs="Times New Roman"/>
        </w:rPr>
        <w:t xml:space="preserve">Support Vector Regression splits feature space using flexible boundaries. In addition to decision tree’s binary rectangle boxes, SVR draws non-parametric hyperplanes to </w:t>
      </w:r>
      <w:r>
        <w:rPr>
          <w:rFonts w:cs="Times New Roman"/>
        </w:rPr>
        <w:t xml:space="preserve">divide features into various spaces. The optimal hyperplane is selected using the maximal margin rule, which find the boundary farthest from the surrounding training samples. </w:t>
      </w:r>
    </w:p>
    <w:p w:rsidR="008D6FA6" w:rsidRPr="006F4CC0" w:rsidRDefault="008D6FA6" w:rsidP="008D6FA6">
      <w:pPr>
        <w:pStyle w:val="PARAIndent"/>
        <w:rPr>
          <w:rFonts w:cs="Times New Roman"/>
        </w:rPr>
      </w:pPr>
      <w:r>
        <w:rPr>
          <w:rFonts w:cs="Times New Roman"/>
        </w:rPr>
        <w:t xml:space="preserve">(Insert formula 3.15) </w:t>
      </w:r>
    </w:p>
    <w:p w:rsidR="008D6FA6" w:rsidRDefault="008D6FA6" w:rsidP="008D6FA6">
      <w:pPr>
        <w:pStyle w:val="PARAIndent"/>
        <w:rPr>
          <w:rFonts w:cs="Times New Roman"/>
        </w:rPr>
      </w:pPr>
      <w:r>
        <w:rPr>
          <w:rFonts w:cs="Times New Roman"/>
        </w:rPr>
        <w:t xml:space="preserve">(Insert a table to list the pro &amp; cons for each model) </w:t>
      </w:r>
    </w:p>
    <w:p w:rsidR="003C4EA9" w:rsidRPr="003C4EA9" w:rsidRDefault="003C4EA9" w:rsidP="00CA2988">
      <w:pPr>
        <w:pStyle w:val="PARAIndent"/>
        <w:rPr>
          <w:rFonts w:cs="Times New Roman"/>
        </w:rPr>
      </w:pPr>
    </w:p>
    <w:p w:rsidR="00CA2988" w:rsidRPr="003C4EA9" w:rsidRDefault="00CA2988" w:rsidP="003C4EA9">
      <w:pPr>
        <w:pStyle w:val="PARAIndent"/>
        <w:rPr>
          <w:rFonts w:cs="Times New Roman"/>
        </w:rPr>
      </w:pPr>
    </w:p>
    <w:p w:rsidR="008D6FA6" w:rsidRDefault="008D6FA6" w:rsidP="008D6FA6">
      <w:pPr>
        <w:pStyle w:val="TableTitle"/>
      </w:pPr>
      <w:r>
        <w:t>TABLE I</w:t>
      </w:r>
    </w:p>
    <w:p w:rsidR="008D6FA6" w:rsidRDefault="008D6FA6" w:rsidP="008D6FA6">
      <w:pPr>
        <w:pStyle w:val="TableTitle"/>
      </w:pPr>
      <w:r>
        <w:t>Properties of Machine Learning Models</w:t>
      </w: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8D6FA6">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8D6FA6" w:rsidRDefault="008D6FA6" w:rsidP="008D6FA6">
            <w:pPr>
              <w:pStyle w:val="ListParagraph"/>
              <w:numPr>
                <w:ilvl w:val="0"/>
                <w:numId w:val="18"/>
              </w:numPr>
              <w:rPr>
                <w:sz w:val="16"/>
                <w:szCs w:val="16"/>
              </w:rPr>
            </w:pPr>
          </w:p>
        </w:tc>
        <w:tc>
          <w:tcPr>
            <w:tcW w:w="1782" w:type="dxa"/>
            <w:gridSpan w:val="2"/>
            <w:tcBorders>
              <w:top w:val="nil"/>
              <w:left w:val="nil"/>
              <w:bottom w:val="nil"/>
              <w:right w:val="nil"/>
            </w:tcBorders>
          </w:tcPr>
          <w:p w:rsidR="008D6FA6" w:rsidRPr="008D6FA6" w:rsidRDefault="008D6FA6" w:rsidP="008D6FA6">
            <w:pPr>
              <w:pStyle w:val="ListParagraph"/>
              <w:numPr>
                <w:ilvl w:val="0"/>
                <w:numId w:val="18"/>
              </w:numPr>
              <w:rPr>
                <w:sz w:val="16"/>
                <w:szCs w:val="16"/>
                <w:vertAlign w:val="superscript"/>
              </w:rPr>
            </w:pP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Tree - 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Tree - Random Forest</w:t>
            </w:r>
          </w:p>
        </w:tc>
        <w:tc>
          <w:tcPr>
            <w:tcW w:w="2160" w:type="dxa"/>
            <w:gridSpan w:val="2"/>
            <w:tcBorders>
              <w:top w:val="nil"/>
              <w:left w:val="nil"/>
              <w:bottom w:val="nil"/>
              <w:right w:val="nil"/>
            </w:tcBorders>
          </w:tcPr>
          <w:p w:rsidR="008D6FA6" w:rsidRDefault="008D6FA6" w:rsidP="003F00F5">
            <w:pPr>
              <w:rPr>
                <w:sz w:val="16"/>
                <w:szCs w:val="16"/>
                <w:vertAlign w:val="superscript"/>
              </w:rPr>
            </w:pPr>
            <w:r>
              <w:rPr>
                <w:sz w:val="16"/>
                <w:szCs w:val="16"/>
              </w:rPr>
              <w:t>Robust</w:t>
            </w: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nil"/>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CA2988" w:rsidRPr="003C4EA9" w:rsidRDefault="008D6FA6" w:rsidP="008D6FA6">
      <w:pPr>
        <w:pStyle w:val="FootnoteText"/>
      </w:pPr>
      <w:proofErr w:type="spellStart"/>
      <w:r w:rsidRPr="00D45F11">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w:t>
      </w: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 xml:space="preserve">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w:t>
      </w:r>
      <w:r>
        <w:lastRenderedPageBreak/>
        <w:t>information to accumulate, while when the stay dates are approaching closer, the booking window is broken into smaller horizons for a closer attention.</w:t>
      </w:r>
    </w:p>
    <w:p w:rsidR="00CA2988" w:rsidRPr="003C4EA9" w:rsidRDefault="00460A89" w:rsidP="00460A89">
      <w:pPr>
        <w:pStyle w:val="PARAIndent"/>
        <w:rPr>
          <w:rFonts w:cs="Times New Roman"/>
        </w:rPr>
      </w:pPr>
      <w:r>
        <w:t>The whole dataset has booking record of 370 consecutive days with ROHs on 12 DBAs and the DOW of the arrival date. 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460A89" w:rsidRPr="00460A89" w:rsidRDefault="00460A89" w:rsidP="00460A89">
      <w:pPr>
        <w:pStyle w:val="PARAIndent"/>
      </w:pPr>
      <w:r w:rsidRPr="00460A89">
        <w:t>This research tests the performance of nine models as listed in Table X:</w:t>
      </w:r>
    </w:p>
    <w:p w:rsidR="00460A89" w:rsidRPr="004E1441" w:rsidRDefault="00460A89" w:rsidP="00460A89">
      <w:pPr>
        <w:spacing w:before="120" w:after="120" w:line="360" w:lineRule="auto"/>
        <w:jc w:val="both"/>
        <w:rPr>
          <w:rFonts w:cs="TimesLTStd-Roman"/>
          <w:sz w:val="18"/>
          <w:szCs w:val="18"/>
        </w:rPr>
      </w:pPr>
      <m:oMathPara>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m:oMathPara>
    </w:p>
    <w:p w:rsidR="00460A89" w:rsidRPr="00460A89" w:rsidRDefault="00460A89" w:rsidP="00460A89">
      <w:pPr>
        <w:pStyle w:val="PARAIndent"/>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Pr="00460A89">
        <w:t xml:space="preserve"> represents pick-up methods and machine learning approaches respectively (formula 1.1).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proofErr w:type="gramStart"/>
      <w:r w:rsidRPr="00460A89">
        <w:t>methods</w:t>
      </w:r>
      <w:proofErr w:type="gramEnd"/>
      <w:r w:rsidRPr="00460A89">
        <w:t xml:space="preserve">, and the performances are tested accordingly.  </w:t>
      </w:r>
    </w:p>
    <w:p w:rsidR="00460A89" w:rsidRDefault="00460A89" w:rsidP="00460A89">
      <w:pPr>
        <w:pStyle w:val="PARAIndent"/>
      </w:pPr>
      <w:r w:rsidRPr="00460A89">
        <w:t xml:space="preserve">Table 2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 </w:t>
      </w:r>
    </w:p>
    <w:p w:rsidR="00460A89" w:rsidRDefault="00460A89" w:rsidP="00460A89">
      <w:pPr>
        <w:pStyle w:val="PARAIndent"/>
      </w:pPr>
      <w:r>
        <w:t xml:space="preserve">Table A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standard deviations of the fitted coefficients are larger. Similarly, the explained variances of further models are smaller than those with closer DBA. </w:t>
      </w:r>
    </w:p>
    <w:p w:rsidR="00460A89" w:rsidRDefault="00460A89" w:rsidP="00460A89">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uses cross-validation or bootcamp methods to increase accuracy.</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460A89"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Pr="00A83386" w:rsidRDefault="00460A89" w:rsidP="00460A89">
      <w:pPr>
        <w:spacing w:before="120" w:after="120" w:line="360" w:lineRule="auto"/>
        <w:jc w:val="both"/>
      </w:pPr>
    </w:p>
    <w:p w:rsidR="00460A89" w:rsidRDefault="00460A89" w:rsidP="00460A89">
      <w:pPr>
        <w:pStyle w:val="PARAIndent"/>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460A89">
      <w:pPr>
        <w:pStyle w:val="PARAIndent"/>
      </w:pPr>
      <w:r w:rsidRPr="00460A89">
        <w:t xml:space="preserve">For K-NN, the critical element -- the value of K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w:t>
      </w:r>
    </w:p>
    <w:p w:rsidR="00460A89" w:rsidRPr="00460A89" w:rsidRDefault="00460A89" w:rsidP="00460A89">
      <w:pPr>
        <w:pStyle w:val="PARAIndent"/>
      </w:pPr>
      <w:r w:rsidRPr="00460A89">
        <w:t xml:space="preserve">Same cross validation was applied on the weighted K-NN model as well. 10 randomly selected K values were tested to find the optimal </w:t>
      </w:r>
      <w:proofErr w:type="gramStart"/>
      <w:r w:rsidRPr="00460A89">
        <w:t>On</w:t>
      </w:r>
      <w:proofErr w:type="gramEnd"/>
      <w:r w:rsidRPr="00460A89">
        <w:t xml:space="preserve"> top of selecting K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460A89" w:rsidP="00460A89">
      <w:pPr>
        <w:pStyle w:val="PARAIndent"/>
      </w:pPr>
      <w:r w:rsidRPr="00460A89">
        <w:t xml:space="preserve">For random forest model, a 10-fold cross validation was also applied to select the optimal number of variables used when growing each tree. Whichever number of variables generating the least Root Mean Square Error (RMSE) is selected. </w:t>
      </w:r>
    </w:p>
    <w:p w:rsidR="00460A89" w:rsidRPr="00460A89" w:rsidRDefault="00460A89" w:rsidP="00460A89">
      <w:pPr>
        <w:pStyle w:val="PARAIndent"/>
      </w:pPr>
      <w:r w:rsidRPr="00460A89">
        <w:t xml:space="preserve">For Support Vector Regression, a list of kernel shapes </w:t>
      </w:r>
      <w:proofErr w:type="gramStart"/>
      <w:r w:rsidRPr="00460A89">
        <w:t>are</w:t>
      </w:r>
      <w:proofErr w:type="gramEnd"/>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460A89" w:rsidRPr="00460A89" w:rsidRDefault="00460A89" w:rsidP="00460A89">
      <w:pPr>
        <w:pStyle w:val="PARAIndent"/>
      </w:pPr>
      <w:r w:rsidRPr="00460A89">
        <w:t>Table X presents the errors and computing time of the pickup models and machine learning models. The ME and MPE are used to describe the biases of the models. Except for Multiplicative Pickup and Neural Network models, all of the models have positive average mean errors, which means they tend to overestimate the demand. All models have mean errors within the range of (-2, 2) and mean percentage error from +-10%</w:t>
      </w:r>
      <w:proofErr w:type="gramStart"/>
      <w:r w:rsidRPr="00460A89">
        <w:t>. ,</w:t>
      </w:r>
      <w:proofErr w:type="gramEnd"/>
      <w:r w:rsidRPr="00460A89">
        <w:t xml:space="preserve"> which (why do we care about mean error?)</w:t>
      </w:r>
    </w:p>
    <w:p w:rsidR="00460A89" w:rsidRPr="00460A89" w:rsidRDefault="00460A89" w:rsidP="00460A89">
      <w:pPr>
        <w:pStyle w:val="PARAIndent"/>
      </w:pPr>
      <w:r w:rsidRPr="00460A89">
        <w:t xml:space="preserve">The MAE and MAPE columns show the accuracy of models. As seen from the table, Support Vector Regression results in the lowest MAE of 5.06 and the lowest MAPE of 0.126. Random Forest </w:t>
      </w:r>
    </w:p>
    <w:p w:rsidR="00460A89" w:rsidRPr="00460A89" w:rsidRDefault="00460A89" w:rsidP="00460A89">
      <w:pPr>
        <w:pStyle w:val="PARAIndent"/>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For instance, the Support Vector Regression model </w:t>
      </w:r>
      <w:r w:rsidRPr="00460A89">
        <w:lastRenderedPageBreak/>
        <w:t xml:space="preserve">in this current research tested for kernel shape to narrow down the optimal shape first, then it tested five </w:t>
      </w:r>
      <m:oMath>
        <m:r>
          <w:rPr>
            <w:rFonts w:ascii="Cambria Math" w:hAnsi="Cambria Math"/>
          </w:rPr>
          <m:t>γ</m:t>
        </m:r>
      </m:oMath>
      <w:r w:rsidRPr="00460A89">
        <w:t xml:space="preserve"> values</w:t>
      </w:r>
      <w:r w:rsidRPr="00460A89">
        <w:rPr>
          <w:highlight w:val="yellow"/>
        </w:rPr>
        <w:t>. low gamma value, far reach, lower weight to the near-boundary vectors, more linear; vice versa.</w:t>
      </w:r>
      <w:r w:rsidRPr="00460A89">
        <w:t xml:space="preserve"> </w:t>
      </w:r>
    </w:p>
    <w:p w:rsidR="00460A89" w:rsidRPr="00460A89" w:rsidRDefault="00460A89" w:rsidP="00460A89">
      <w:pPr>
        <w:pStyle w:val="PARAIndent"/>
      </w:pPr>
      <w:r w:rsidRPr="00460A89">
        <w:t xml:space="preserve">An important question is whether machine learning based models are robust to hotel demand forecasting. We conduct a sensitivity analysis with a different randomly selected dataset. As in Table A shows, </w:t>
      </w:r>
      <w:r w:rsidRPr="00460A89">
        <w:rPr>
          <w:highlight w:val="yellow"/>
        </w:rPr>
        <w:t>the results in either errors, variance or time consumed are mostly similar. The only difference is … Finally,</w:t>
      </w:r>
      <w:r w:rsidRPr="00460A89">
        <w:t xml:space="preserve"> </w:t>
      </w:r>
    </w:p>
    <w:p w:rsidR="00460A89" w:rsidRDefault="00460A89" w:rsidP="00460A89">
      <w:pPr>
        <w:pStyle w:val="PARAIndent"/>
      </w:pPr>
      <w:r w:rsidRPr="00460A89">
        <w:t>for KNN: the longer the forecasting window, the larger the chosen K value - makes sense, since less information is given. Similar to weighted K-NN, d</w:t>
      </w:r>
    </w:p>
    <w:p w:rsidR="00460A89" w:rsidRPr="00460A89" w:rsidRDefault="00460A89" w:rsidP="00460A89">
      <w:pPr>
        <w:pStyle w:val="PARAIndent"/>
      </w:pPr>
    </w:p>
    <w:p w:rsidR="00460A89" w:rsidRDefault="00460A89" w:rsidP="00460A89">
      <w:pPr>
        <w:pStyle w:val="H1NoSpace"/>
      </w:pPr>
      <w:r>
        <w:t>CONCLUSIONS AND DISCUSSIONS</w:t>
      </w:r>
    </w:p>
    <w:p w:rsidR="009E6EE0" w:rsidRPr="009E6EE0" w:rsidRDefault="009E6EE0" w:rsidP="009E6EE0">
      <w:pPr>
        <w:pStyle w:val="PARAIndent"/>
      </w:pPr>
      <w:r w:rsidRPr="009E6EE0">
        <w:t xml:space="preserve">On average, pick up models embedded with machine learning approaches were shown to have higher accuracy than classic pick up models.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 xml:space="preserve">Weatherford, L. R., &amp; Kimes, S. E. (2003). A comparison of forecasting methods for hotel revenue management. </w:t>
      </w:r>
      <w:r w:rsidRPr="00D6550C">
        <w:t>International Journal of Forecasting, 19(3), 401–415. https://doi.org/10.1016/S0169-2070(02)00011-0</w:t>
      </w:r>
    </w:p>
    <w:p w:rsidR="00D6550C" w:rsidRPr="00D6550C" w:rsidRDefault="00D6550C" w:rsidP="00D6550C">
      <w:pPr>
        <w:pStyle w:val="PARAIndent"/>
      </w:pPr>
      <w:r w:rsidRPr="00D6550C">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D6550C" w:rsidRDefault="00D6550C" w:rsidP="00D6550C">
      <w:pPr>
        <w:pStyle w:val="PARAIndent"/>
      </w:pPr>
      <w:r w:rsidRPr="00D6550C">
        <w:fldChar w:fldCharType="end"/>
      </w:r>
    </w:p>
    <w:p w:rsidR="00460A89" w:rsidRDefault="00460A89" w:rsidP="00460A89">
      <w:pPr>
        <w:pStyle w:val="PARA"/>
        <w:rPr>
          <w:rFonts w:ascii="Helvetica" w:hAnsi="Helvetica" w:cs="FormataOTFMdIt"/>
          <w:bCs/>
          <w:i/>
          <w:color w:val="58595B"/>
          <w:spacing w:val="0"/>
          <w:sz w:val="18"/>
          <w:szCs w:val="18"/>
        </w:rPr>
      </w:pPr>
    </w:p>
    <w:p w:rsidR="00460A89" w:rsidRPr="00460A89" w:rsidRDefault="00460A89" w:rsidP="00460A89">
      <w:pPr>
        <w:pStyle w:val="PARAIndent"/>
      </w:pPr>
    </w:p>
    <w:p w:rsidR="00460A89" w:rsidRPr="00460A89" w:rsidRDefault="00460A89" w:rsidP="00460A89">
      <w:pPr>
        <w:pStyle w:val="PARA"/>
        <w:rPr>
          <w:rFonts w:ascii="Helvetica" w:hAnsi="Helvetica" w:cs="FormataOTFMdIt"/>
          <w:bCs/>
          <w:iCs/>
          <w:color w:val="58595B"/>
          <w:spacing w:val="0"/>
          <w:sz w:val="18"/>
          <w:szCs w:val="18"/>
        </w:rPr>
      </w:pPr>
    </w:p>
    <w:p w:rsidR="00CA2988" w:rsidRPr="003C4EA9" w:rsidRDefault="00CA2988" w:rsidP="003C4EA9">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Pr="008D6FA6" w:rsidRDefault="00CA2988" w:rsidP="008D6FA6">
      <w:pPr>
        <w:pStyle w:val="PARAIndent"/>
        <w:rPr>
          <w:rFonts w:cs="Times New Roman"/>
        </w:rPr>
      </w:pPr>
    </w:p>
    <w:p w:rsidR="00CA2988" w:rsidRDefault="00CA2988" w:rsidP="00CA2988">
      <w:pPr>
        <w:pStyle w:val="PARA"/>
      </w:pPr>
    </w:p>
    <w:p w:rsidR="00460A89" w:rsidRDefault="00460A89">
      <w:pPr>
        <w:rPr>
          <w:rFonts w:cs="TimesLTStd-Roman"/>
          <w:spacing w:val="-2"/>
          <w:sz w:val="20"/>
          <w:szCs w:val="20"/>
        </w:rPr>
      </w:pPr>
      <w:r>
        <w:br w:type="page"/>
      </w:r>
    </w:p>
    <w:p w:rsidR="00BE0B38" w:rsidRDefault="00AF5C1A" w:rsidP="008F2FB3">
      <w:pPr>
        <w:pStyle w:val="H2NoSpace"/>
        <w:rPr>
          <w:noProof/>
        </w:rPr>
      </w:pPr>
      <w:r w:rsidRPr="00F00147">
        <w:rPr>
          <w:noProof/>
        </w:rPr>
        <w:lastRenderedPageBreak/>
        <w:drawing>
          <wp:inline distT="0" distB="0" distL="0" distR="0">
            <wp:extent cx="3147060" cy="2392045"/>
            <wp:effectExtent l="0" t="0" r="0" b="0"/>
            <wp:docPr id="3"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rsidR="00BE0B38" w:rsidRPr="00486E60" w:rsidRDefault="00BE0B38" w:rsidP="00BE0B38">
      <w:pPr>
        <w:pStyle w:val="FigCaption"/>
      </w:pPr>
      <w:r w:rsidRPr="00B06847">
        <w:rPr>
          <w:rStyle w:val="CaptionColor"/>
        </w:rPr>
        <w:t>FIGURE</w:t>
      </w:r>
      <w:r w:rsidRPr="00B7110A">
        <w:rPr>
          <w:rStyle w:val="CaptionColor"/>
        </w:rPr>
        <w:t xml:space="preserve"> 1.</w:t>
      </w:r>
      <w:r>
        <w:rPr>
          <w:rFonts w:ascii="MS Gothic" w:eastAsia="MS Gothic" w:hAnsi="MS Gothic" w:cs="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rsidR="00BE0B38" w:rsidRDefault="00BE0B38" w:rsidP="00BE0B38">
      <w:pPr>
        <w:pStyle w:val="PARA"/>
      </w:pPr>
    </w:p>
    <w:p w:rsidR="00D45F11" w:rsidRDefault="00D45F11" w:rsidP="00D45F11">
      <w:pPr>
        <w:pStyle w:val="TableTitle"/>
      </w:pPr>
      <w:r>
        <w:t>TABLE I</w:t>
      </w:r>
    </w:p>
    <w:p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rsidTr="0001799E">
        <w:trPr>
          <w:trHeight w:val="440"/>
        </w:trPr>
        <w:tc>
          <w:tcPr>
            <w:tcW w:w="720" w:type="dxa"/>
            <w:tcBorders>
              <w:top w:val="double" w:sz="6" w:space="0" w:color="auto"/>
              <w:left w:val="nil"/>
              <w:bottom w:val="single" w:sz="6" w:space="0" w:color="auto"/>
              <w:right w:val="nil"/>
            </w:tcBorders>
            <w:vAlign w:val="center"/>
          </w:tcPr>
          <w:p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rsidR="00D45F11" w:rsidRDefault="00D45F11" w:rsidP="0001799E">
            <w:pPr>
              <w:jc w:val="center"/>
              <w:rPr>
                <w:sz w:val="16"/>
                <w:szCs w:val="16"/>
              </w:rPr>
            </w:pPr>
            <w:r>
              <w:rPr>
                <w:sz w:val="16"/>
                <w:szCs w:val="16"/>
              </w:rPr>
              <w:t>Conversion from Gaussian and</w:t>
            </w:r>
          </w:p>
          <w:p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rsidTr="0001799E">
        <w:tc>
          <w:tcPr>
            <w:tcW w:w="720" w:type="dxa"/>
            <w:tcBorders>
              <w:top w:val="nil"/>
              <w:left w:val="nil"/>
              <w:bottom w:val="nil"/>
              <w:right w:val="nil"/>
            </w:tcBorders>
          </w:tcPr>
          <w:p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rsidR="00D45F11" w:rsidRDefault="00D45F11" w:rsidP="0001799E">
            <w:pPr>
              <w:rPr>
                <w:sz w:val="16"/>
                <w:szCs w:val="16"/>
              </w:rPr>
            </w:pPr>
            <w:r>
              <w:rPr>
                <w:sz w:val="16"/>
                <w:szCs w:val="16"/>
              </w:rPr>
              <w:t xml:space="preserve">magnetic flux density, </w:t>
            </w:r>
          </w:p>
          <w:p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erg/G = 1 emu </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rsidR="00D45F11" w:rsidRDefault="00D45F11" w:rsidP="0001799E">
            <w:pPr>
              <w:rPr>
                <w:sz w:val="16"/>
                <w:szCs w:val="16"/>
              </w:rPr>
            </w:pPr>
            <w:r>
              <w:rPr>
                <w:sz w:val="16"/>
                <w:szCs w:val="16"/>
              </w:rPr>
              <w:t xml:space="preserve">magnetic dipole </w:t>
            </w:r>
          </w:p>
          <w:p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erg/G = 1 emu </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rsidTr="0001799E">
        <w:tc>
          <w:tcPr>
            <w:tcW w:w="720" w:type="dxa"/>
            <w:tcBorders>
              <w:top w:val="nil"/>
              <w:left w:val="nil"/>
              <w:bottom w:val="nil"/>
              <w:right w:val="nil"/>
            </w:tcBorders>
          </w:tcPr>
          <w:p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rsidTr="0001799E">
        <w:tc>
          <w:tcPr>
            <w:tcW w:w="720" w:type="dxa"/>
            <w:tcBorders>
              <w:top w:val="nil"/>
              <w:left w:val="nil"/>
              <w:bottom w:val="nil"/>
              <w:right w:val="nil"/>
            </w:tcBorders>
          </w:tcPr>
          <w:p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rsidTr="0001799E">
        <w:tc>
          <w:tcPr>
            <w:tcW w:w="720" w:type="dxa"/>
            <w:tcBorders>
              <w:top w:val="nil"/>
              <w:left w:val="nil"/>
              <w:bottom w:val="nil"/>
              <w:right w:val="nil"/>
            </w:tcBorders>
          </w:tcPr>
          <w:p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rsidTr="0001799E">
        <w:trPr>
          <w:trHeight w:val="279"/>
        </w:trPr>
        <w:tc>
          <w:tcPr>
            <w:tcW w:w="720" w:type="dxa"/>
            <w:tcBorders>
              <w:top w:val="nil"/>
              <w:left w:val="nil"/>
              <w:bottom w:val="double" w:sz="6" w:space="0" w:color="auto"/>
              <w:right w:val="nil"/>
            </w:tcBorders>
          </w:tcPr>
          <w:p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D45F11" w:rsidRDefault="00D45F11" w:rsidP="00D45F11">
      <w:pPr>
        <w:pStyle w:val="FootnoteText"/>
      </w:pPr>
      <w:r>
        <w:t xml:space="preserve">Vertical lines are optional in tables. Statements that serve as captions for the entire table do not need footnote letters. </w:t>
      </w:r>
    </w:p>
    <w:p w:rsidR="00D45F11" w:rsidRDefault="00D45F11" w:rsidP="00D45F11">
      <w:pPr>
        <w:pStyle w:val="FootnoteText"/>
      </w:pPr>
      <w:proofErr w:type="spellStart"/>
      <w:r w:rsidRPr="00D45F11">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457310" w:rsidRPr="00CF1C08" w:rsidRDefault="005C261D" w:rsidP="00457310">
      <w:pPr>
        <w:pStyle w:val="H2NoSpace"/>
        <w:spacing w:before="0"/>
      </w:pPr>
      <w:r>
        <w:t>D</w:t>
      </w:r>
      <w:r w:rsidRPr="00791AA8">
        <w:t>.</w:t>
      </w:r>
      <w:r w:rsidR="00457310" w:rsidRPr="007573E5">
        <w:rPr>
          <w:rFonts w:ascii="MS Gothic" w:eastAsia="MS Gothic" w:hAnsi="MS Gothic" w:cs="MS Gothic" w:hint="eastAsia"/>
        </w:rPr>
        <w:t> </w:t>
      </w:r>
      <w:r w:rsidRPr="00457310">
        <w:t>SIZING OF GRAPHICS</w:t>
      </w:r>
    </w:p>
    <w:p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rsidR="00457310" w:rsidRPr="00457310" w:rsidRDefault="00457310" w:rsidP="00457310">
      <w:pPr>
        <w:pStyle w:val="PARAIndent"/>
      </w:pPr>
      <w:r w:rsidRPr="00457310">
        <w:t xml:space="preserve">The final printed size of author photographs is exactly </w:t>
      </w:r>
      <w:r w:rsidRPr="00457310">
        <w:br/>
      </w:r>
      <w:proofErr w:type="gramStart"/>
      <w:r w:rsidRPr="00457310">
        <w:t>1 inch wide</w:t>
      </w:r>
      <w:proofErr w:type="gramEnd"/>
      <w:r w:rsidRPr="00457310">
        <w:t xml:space="preserve"> by 1.25 inches tall (25.4 millimeters x 31.75 millimeters / 6 picas x 7.5 picas). Author photos printed in editorials measure 1.59 inches wide by 2 inches tall (40 millimeters x 50 millimeters / 9.5 picas x 12 picas).</w:t>
      </w:r>
    </w:p>
    <w:p w:rsidR="00457310" w:rsidRPr="00CF1C08" w:rsidRDefault="005C261D" w:rsidP="00457310">
      <w:pPr>
        <w:pStyle w:val="H2"/>
      </w:pPr>
      <w:r>
        <w:t>E</w:t>
      </w:r>
      <w:r w:rsidRPr="00791AA8">
        <w:t>.</w:t>
      </w:r>
      <w:r w:rsidR="00457310" w:rsidRPr="007573E5">
        <w:rPr>
          <w:rFonts w:ascii="MS Gothic" w:eastAsia="MS Gothic" w:hAnsi="MS Gothic" w:cs="MS Gothic" w:hint="eastAsia"/>
        </w:rPr>
        <w:t> </w:t>
      </w:r>
      <w:r w:rsidRPr="00457310">
        <w:t>RESOLUTION</w:t>
      </w:r>
    </w:p>
    <w:p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rsidR="00457310" w:rsidRPr="00CF1C08" w:rsidRDefault="005C261D" w:rsidP="00457310">
      <w:pPr>
        <w:pStyle w:val="H2"/>
      </w:pPr>
      <w:r>
        <w:t>F</w:t>
      </w:r>
      <w:r w:rsidRPr="00791AA8">
        <w:t>.</w:t>
      </w:r>
      <w:r w:rsidR="00457310" w:rsidRPr="007573E5">
        <w:rPr>
          <w:rFonts w:ascii="MS Gothic" w:eastAsia="MS Gothic" w:hAnsi="MS Gothic" w:cs="MS Gothic" w:hint="eastAsia"/>
        </w:rPr>
        <w:t> </w:t>
      </w:r>
      <w:r w:rsidR="00034A7F">
        <w:t>VECTOR ART</w:t>
      </w:r>
    </w:p>
    <w:p w:rsidR="00457310" w:rsidRPr="00457310" w:rsidRDefault="00457310" w:rsidP="00457310">
      <w:pPr>
        <w:pStyle w:val="PARA"/>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rsidR="00457310" w:rsidRPr="00CF1C08" w:rsidRDefault="005C261D" w:rsidP="00457310">
      <w:pPr>
        <w:pStyle w:val="H2"/>
      </w:pPr>
      <w:r>
        <w:t>G</w:t>
      </w:r>
      <w:r w:rsidRPr="00791AA8">
        <w:t>.</w:t>
      </w:r>
      <w:r w:rsidR="00457310" w:rsidRPr="007573E5">
        <w:rPr>
          <w:rFonts w:ascii="MS Gothic" w:eastAsia="MS Gothic" w:hAnsi="MS Gothic" w:cs="MS Gothic" w:hint="eastAsia"/>
        </w:rPr>
        <w:t> </w:t>
      </w:r>
      <w:r w:rsidR="00034A7F">
        <w:t>COLOR SPACE</w:t>
      </w:r>
    </w:p>
    <w:p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 xml:space="preserve">colorspace. Note </w:t>
      </w:r>
      <w:proofErr w:type="spellEnd"/>
      <w:r w:rsidRPr="00457310">
        <w:t xml:space="preserve">that “bitmap </w:t>
      </w:r>
      <w:proofErr w:type="spellStart"/>
      <w:r w:rsidRPr="00457310">
        <w:t>colorspace</w:t>
      </w:r>
      <w:proofErr w:type="spellEnd"/>
      <w:r w:rsidRPr="00457310">
        <w:t>” and “bitmap file format” are not the same thing. When bitmap color space is selected, .TIF/.TIFF/.PNG are the recommended file formats.</w:t>
      </w:r>
    </w:p>
    <w:p w:rsidR="00457310" w:rsidRPr="00457310" w:rsidRDefault="005C261D" w:rsidP="00457310">
      <w:pPr>
        <w:pStyle w:val="H2"/>
      </w:pPr>
      <w:r>
        <w:t>H</w:t>
      </w:r>
      <w:r w:rsidRPr="00791AA8">
        <w:t>.</w:t>
      </w:r>
      <w:r w:rsidR="00457310" w:rsidRPr="007573E5">
        <w:rPr>
          <w:rFonts w:ascii="MS Gothic" w:eastAsia="MS Gothic" w:hAnsi="MS Gothic" w:cs="MS Gothic" w:hint="eastAsia"/>
        </w:rPr>
        <w:t> </w:t>
      </w:r>
      <w:r w:rsidRPr="00457310">
        <w:t>ACCEPTED FONTS WITHIN FIGURES</w:t>
      </w:r>
    </w:p>
    <w:p w:rsidR="00457310" w:rsidRPr="00457310" w:rsidRDefault="00457310" w:rsidP="00457310">
      <w:pPr>
        <w:pStyle w:val="PARA"/>
      </w:pPr>
      <w:r w:rsidRPr="00457310">
        <w:t>When preparing your graphics IEEE suggests that you use of one of the following Open Type fonts: Times New Roman, Helvetica, Arial, Cambria, and Symbol. If you are supplying EPS, PS, or PDF files all fonts must be embedded. Some fonts may only be native to your operating system; without the fonts embedded, parts of the graphic may be distorted or missing.</w:t>
      </w:r>
    </w:p>
    <w:p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rsidR="002F1D45" w:rsidRPr="002F1D45" w:rsidRDefault="005C261D" w:rsidP="002F1D45">
      <w:pPr>
        <w:pStyle w:val="H2"/>
      </w:pPr>
      <w:r>
        <w:t>I</w:t>
      </w:r>
      <w:r w:rsidRPr="00791AA8">
        <w:t>.</w:t>
      </w:r>
      <w:r w:rsidR="002F1D45" w:rsidRPr="007573E5">
        <w:rPr>
          <w:rFonts w:ascii="MS Gothic" w:eastAsia="MS Gothic" w:hAnsi="MS Gothic" w:cs="MS Gothic" w:hint="eastAsia"/>
        </w:rPr>
        <w:t> </w:t>
      </w:r>
      <w:r w:rsidRPr="002F1D45">
        <w:t>USING LABELS WITHIN FIGURES</w:t>
      </w:r>
    </w:p>
    <w:p w:rsidR="007E44F5" w:rsidRPr="007E44F5" w:rsidRDefault="002F1D45" w:rsidP="002F1D45">
      <w:pPr>
        <w:pStyle w:val="H3"/>
      </w:pPr>
      <w:r w:rsidRPr="005E1970">
        <w:t>1)</w:t>
      </w:r>
      <w:r w:rsidRPr="007573E5">
        <w:rPr>
          <w:rFonts w:ascii="MS Gothic" w:eastAsia="MS Gothic" w:hAnsi="MS Gothic" w:cs="MS Gothic" w:hint="eastAsia"/>
        </w:rPr>
        <w:t> </w:t>
      </w:r>
      <w:r w:rsidRPr="002F1D45">
        <w:t>Figure Axis labels</w:t>
      </w:r>
    </w:p>
    <w:p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xml:space="preserve">.” Put </w:t>
      </w:r>
      <w:r w:rsidRPr="00E857A2">
        <w:lastRenderedPageBreak/>
        <w:t>units in parentheses. Do not label axes only with units. As in Fig. 1, for example, write “Magnetization (A/m)” or “Magnetization (A</w:t>
      </w:r>
      <w:r w:rsidR="00C05D70" w:rsidRPr="00E857A2">
        <w:rPr>
          <w:noProof/>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5pt;height:6.3pt;mso-width-percent:0;mso-height-percent:0;mso-width-percent:0;mso-height-percent:0" o:ole="" fillcolor="window">
            <v:imagedata r:id="rId10" o:title=""/>
          </v:shape>
          <o:OLEObject Type="Embed" ProgID="Equation.3" ShapeID="_x0000_i1025" DrawAspect="Content" ObjectID="_1653460629" r:id="rId11"/>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w:t>
      </w:r>
      <w:proofErr w:type="gramStart"/>
      <w:r w:rsidRPr="00E857A2">
        <w:t>10 point</w:t>
      </w:r>
      <w:proofErr w:type="gramEnd"/>
      <w:r w:rsidRPr="00E857A2">
        <w:t xml:space="preserve"> type.</w:t>
      </w:r>
    </w:p>
    <w:p w:rsidR="00594D78" w:rsidRPr="00594D78" w:rsidRDefault="00594D78" w:rsidP="00594D78">
      <w:pPr>
        <w:pStyle w:val="H3"/>
      </w:pPr>
      <w:r>
        <w:t>2</w:t>
      </w:r>
      <w:r w:rsidRPr="005E1970">
        <w:t>)</w:t>
      </w:r>
      <w:r w:rsidRPr="007573E5">
        <w:rPr>
          <w:rFonts w:ascii="MS Gothic" w:eastAsia="MS Gothic" w:hAnsi="MS Gothic" w:cs="MS Gothic" w:hint="eastAsia"/>
        </w:rPr>
        <w:t> </w:t>
      </w:r>
      <w:r w:rsidRPr="00594D78">
        <w:t xml:space="preserve"> Subfigure Labels in Multipart Figures and Tables</w:t>
      </w:r>
    </w:p>
    <w:p w:rsidR="00594D78" w:rsidRPr="00E857A2" w:rsidRDefault="00594D78" w:rsidP="00594D78">
      <w:pPr>
        <w:pStyle w:val="PARA"/>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rsidR="00594D78" w:rsidRPr="00594D78" w:rsidRDefault="005C261D" w:rsidP="00594D78">
      <w:pPr>
        <w:pStyle w:val="H2"/>
      </w:pPr>
      <w:r>
        <w:t>J</w:t>
      </w:r>
      <w:r w:rsidRPr="00791AA8">
        <w:t>.</w:t>
      </w:r>
      <w:r w:rsidR="00594D78" w:rsidRPr="007573E5">
        <w:rPr>
          <w:rFonts w:ascii="MS Gothic" w:eastAsia="MS Gothic" w:hAnsi="MS Gothic" w:cs="MS Gothic" w:hint="eastAsia"/>
        </w:rPr>
        <w:t> </w:t>
      </w:r>
      <w:r w:rsidRPr="00594D78">
        <w:t>FILE NAMING</w:t>
      </w:r>
    </w:p>
    <w:p w:rsidR="00594D78" w:rsidRPr="00594D78" w:rsidRDefault="00594D78" w:rsidP="00594D78">
      <w:pPr>
        <w:pStyle w:val="PARA"/>
      </w:pPr>
      <w:r w:rsidRPr="00594D78">
        <w:t xml:space="preserve">Figures (line artwork or photographs) should be named starting with the first 5 letters of the author’s last name. The </w:t>
      </w:r>
      <w:r w:rsidRPr="00594D78">
        <w:t>next characters in the filename should be the number that represents the sequential location of this image in your article. For example, in author “Anderson’s” paper, the first three figures would be named ander1.tif, ander2.tif, and ander3.ps.</w:t>
      </w:r>
    </w:p>
    <w:p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rsidR="00BC4302" w:rsidRDefault="00BC4302" w:rsidP="00767D54">
      <w:pPr>
        <w:pStyle w:val="H2NoSpace"/>
        <w:spacing w:before="0"/>
        <w:sectPr w:rsidR="00BC4302" w:rsidSect="00422716">
          <w:footerReference w:type="default" r:id="rId12"/>
          <w:type w:val="continuous"/>
          <w:pgSz w:w="11520" w:h="15660" w:code="1"/>
          <w:pgMar w:top="1300" w:right="740" w:bottom="1040" w:left="740" w:header="360" w:footer="640" w:gutter="0"/>
          <w:cols w:num="2" w:space="400"/>
          <w:docGrid w:linePitch="360"/>
        </w:sectPr>
      </w:pPr>
    </w:p>
    <w:p w:rsidR="00767D54" w:rsidRPr="00594D78" w:rsidRDefault="00767D54" w:rsidP="00767D54">
      <w:pPr>
        <w:pStyle w:val="H2NoSpace"/>
        <w:spacing w:before="0"/>
      </w:pPr>
      <w:r>
        <w:br w:type="page"/>
      </w:r>
      <w:r w:rsidR="005C261D">
        <w:lastRenderedPageBreak/>
        <w:t>K</w:t>
      </w:r>
      <w:r w:rsidR="005C261D" w:rsidRPr="00791AA8">
        <w:t>.</w:t>
      </w:r>
      <w:r w:rsidRPr="007573E5">
        <w:rPr>
          <w:rFonts w:ascii="MS Gothic" w:eastAsia="MS Gothic" w:hAnsi="MS Gothic" w:cs="MS Gothic" w:hint="eastAsia"/>
        </w:rPr>
        <w:t> </w:t>
      </w:r>
      <w:r w:rsidR="005C261D" w:rsidRPr="00AD0FD6">
        <w:t>REFERENCING A FIGURE OR TABLE WITHIN YOUR PAPER</w:t>
      </w:r>
    </w:p>
    <w:p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rsidR="00AD0FD6" w:rsidRPr="00594D78" w:rsidRDefault="005C261D" w:rsidP="00AD0FD6">
      <w:pPr>
        <w:pStyle w:val="H2"/>
      </w:pPr>
      <w:r>
        <w:t>L</w:t>
      </w:r>
      <w:r w:rsidRPr="00791AA8">
        <w:t>.</w:t>
      </w:r>
      <w:r w:rsidR="00AD0FD6" w:rsidRPr="007573E5">
        <w:rPr>
          <w:rFonts w:ascii="MS Gothic" w:eastAsia="MS Gothic" w:hAnsi="MS Gothic" w:cs="MS Gothic" w:hint="eastAsia"/>
        </w:rPr>
        <w:t> </w:t>
      </w:r>
      <w:r w:rsidRPr="00AD0FD6">
        <w:t>CHECKING YOUR FIGURES: THE IEEE GRAPHICS ANALYZER</w:t>
      </w:r>
    </w:p>
    <w:p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3"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4" w:history="1">
        <w:r w:rsidRPr="00113F26">
          <w:rPr>
            <w:rStyle w:val="Hyperlink"/>
            <w:rFonts w:ascii="Times" w:hAnsi="Times"/>
            <w:color w:val="000000"/>
          </w:rPr>
          <w:t>graphics@ieee.org</w:t>
        </w:r>
      </w:hyperlink>
      <w:r w:rsidRPr="00E857A2">
        <w:t>.</w:t>
      </w:r>
    </w:p>
    <w:p w:rsidR="001C597C" w:rsidRPr="00594D78" w:rsidRDefault="005C261D" w:rsidP="001C597C">
      <w:pPr>
        <w:pStyle w:val="H2"/>
      </w:pPr>
      <w:r>
        <w:t>M</w:t>
      </w:r>
      <w:r w:rsidRPr="00791AA8">
        <w:t>.</w:t>
      </w:r>
      <w:r w:rsidR="001C597C" w:rsidRPr="007573E5">
        <w:rPr>
          <w:rFonts w:ascii="MS Gothic" w:eastAsia="MS Gothic" w:hAnsi="MS Gothic" w:cs="MS Gothic" w:hint="eastAsia"/>
        </w:rPr>
        <w:t> </w:t>
      </w:r>
      <w:r w:rsidRPr="001C597C">
        <w:t>SUBMITTING YOUR GRAPHICS</w:t>
      </w:r>
    </w:p>
    <w:p w:rsidR="001C597C" w:rsidRDefault="001C597C" w:rsidP="001C597C">
      <w:pPr>
        <w:pStyle w:val="PARA"/>
      </w:pPr>
      <w:r>
        <w:t xml:space="preserve">Because IEEE will do the final formatting of your paper, </w:t>
      </w:r>
    </w:p>
    <w:p w:rsidR="001C597C" w:rsidRPr="00242D8A" w:rsidRDefault="001C597C" w:rsidP="001C597C">
      <w:pPr>
        <w:pStyle w:val="PARA"/>
        <w:rPr>
          <w:rStyle w:val="BodyText2"/>
          <w:rFonts w:ascii="Times New Roman" w:hAnsi="Times New Roman" w:cs="TimesLTStd-Roman"/>
          <w:color w:val="auto"/>
          <w:sz w:val="20"/>
        </w:rPr>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rsidR="001C597C" w:rsidRPr="00594D78" w:rsidRDefault="005C261D" w:rsidP="001C597C">
      <w:pPr>
        <w:pStyle w:val="H2"/>
      </w:pPr>
      <w:r>
        <w:t>N</w:t>
      </w:r>
      <w:r w:rsidRPr="00791AA8">
        <w:t>.</w:t>
      </w:r>
      <w:r w:rsidR="001C597C" w:rsidRPr="007573E5">
        <w:rPr>
          <w:rFonts w:ascii="MS Gothic" w:eastAsia="MS Gothic" w:hAnsi="MS Gothic" w:cs="MS Gothic" w:hint="eastAsia"/>
        </w:rPr>
        <w:t> </w:t>
      </w:r>
      <w:r w:rsidRPr="001C597C">
        <w:t>COLOR PROCESSING / PRINTING IN IEEE JOURNALS</w:t>
      </w:r>
    </w:p>
    <w:p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486E60" w:rsidRPr="00E91452" w:rsidRDefault="001C597C" w:rsidP="00457310">
      <w:pPr>
        <w:pStyle w:val="H1"/>
      </w:pPr>
      <w:r>
        <w:t>VII</w:t>
      </w:r>
      <w:r w:rsidR="007E44F5" w:rsidRPr="005C3955">
        <w:t>.</w:t>
      </w:r>
      <w:r w:rsidR="007E44F5">
        <w:rPr>
          <w:rFonts w:ascii="MS Gothic" w:eastAsia="MS Gothic" w:hAnsi="MS Gothic" w:cs="MS Gothic"/>
        </w:rPr>
        <w:t> </w:t>
      </w:r>
      <w:r w:rsidRPr="001C597C">
        <w:t>CONCLUSION</w:t>
      </w:r>
    </w:p>
    <w:p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rsidR="001C597C" w:rsidRPr="001C597C" w:rsidRDefault="001C597C" w:rsidP="001C597C">
      <w:pPr>
        <w:pStyle w:val="H1"/>
      </w:pPr>
      <w:r w:rsidRPr="001C597C">
        <w:t>APPENDIX</w:t>
      </w:r>
    </w:p>
    <w:p w:rsidR="001C597C" w:rsidRPr="001C597C" w:rsidRDefault="001C597C" w:rsidP="001C597C">
      <w:pPr>
        <w:pStyle w:val="PARA"/>
      </w:pPr>
      <w:r w:rsidRPr="001C597C">
        <w:t>Appendixes, if needed, appear before the acknowledgment.</w:t>
      </w:r>
    </w:p>
    <w:p w:rsidR="001C597C" w:rsidRPr="001C597C" w:rsidRDefault="001C597C" w:rsidP="001C597C">
      <w:pPr>
        <w:pStyle w:val="H1"/>
      </w:pPr>
      <w:r w:rsidRPr="001C597C">
        <w:t>ACKNOWLEDGMENT</w:t>
      </w:r>
    </w:p>
    <w:p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rsidR="001C597C" w:rsidRPr="001C597C" w:rsidRDefault="001C597C" w:rsidP="001C597C">
      <w:pPr>
        <w:pStyle w:val="H1"/>
      </w:pPr>
      <w:r w:rsidRPr="001C597C">
        <w:t>REFERENCES AND FOOTNOTES</w:t>
      </w:r>
    </w:p>
    <w:p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rsidR="001C597C" w:rsidRPr="001C597C" w:rsidRDefault="005C261D" w:rsidP="001C597C">
      <w:pPr>
        <w:pStyle w:val="H2"/>
      </w:pPr>
      <w:r>
        <w:t>A</w:t>
      </w:r>
      <w:r w:rsidRPr="00791AA8">
        <w:t>.</w:t>
      </w:r>
      <w:r w:rsidR="001C597C" w:rsidRPr="007573E5">
        <w:rPr>
          <w:rFonts w:ascii="MS Gothic" w:eastAsia="MS Gothic" w:hAnsi="MS Gothic" w:cs="MS Gothic" w:hint="eastAsia"/>
        </w:rPr>
        <w:t> </w:t>
      </w:r>
      <w:r w:rsidRPr="001C597C">
        <w:t>FOOTNOTES</w:t>
      </w:r>
    </w:p>
    <w:p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rsidR="001C597C" w:rsidRPr="00D11438" w:rsidRDefault="001C597C" w:rsidP="001C597C">
      <w:pPr>
        <w:pStyle w:val="H1"/>
      </w:pPr>
      <w:r>
        <w:t>VIII</w:t>
      </w:r>
      <w:r w:rsidRPr="005C3955">
        <w:t>.</w:t>
      </w:r>
      <w:r>
        <w:rPr>
          <w:rFonts w:ascii="MS Gothic" w:eastAsia="MS Gothic" w:hAnsi="MS Gothic" w:cs="MS Gothic"/>
        </w:rPr>
        <w:t> </w:t>
      </w:r>
      <w:r w:rsidR="00D11438" w:rsidRPr="00D11438">
        <w:t>SUBMITTING YOUR PAPER FOR REVIEW</w:t>
      </w:r>
    </w:p>
    <w:p w:rsidR="00D11438" w:rsidRPr="00594D78" w:rsidRDefault="005C261D" w:rsidP="00D11438">
      <w:pPr>
        <w:pStyle w:val="H2NoSpace"/>
      </w:pPr>
      <w:r>
        <w:t>A</w:t>
      </w:r>
      <w:r w:rsidRPr="00791AA8">
        <w:t>.</w:t>
      </w:r>
      <w:r w:rsidR="00D11438" w:rsidRPr="007573E5">
        <w:rPr>
          <w:rFonts w:ascii="MS Gothic" w:eastAsia="MS Gothic" w:hAnsi="MS Gothic" w:cs="MS Gothic" w:hint="eastAsia"/>
        </w:rPr>
        <w:t> </w:t>
      </w:r>
      <w:r w:rsidRPr="00D11438">
        <w:t>REVIEW STAGE USING WORD 6.0 OR HIGHER</w:t>
      </w:r>
    </w:p>
    <w:p w:rsidR="00D11438" w:rsidRDefault="00D11438" w:rsidP="00D11438">
      <w:pPr>
        <w:pStyle w:val="PARA"/>
      </w:pPr>
      <w:r>
        <w:t>If you want to submit your file with one column electronically, please do the following:</w:t>
      </w:r>
    </w:p>
    <w:p w:rsidR="00D11438" w:rsidRDefault="00D11438" w:rsidP="00D11438">
      <w:pPr>
        <w:pStyle w:val="PARAIndent"/>
      </w:pPr>
      <w:proofErr w:type="gramStart"/>
      <w:r>
        <w:t>--First,</w:t>
      </w:r>
      <w:proofErr w:type="gramEnd"/>
      <w:r>
        <w:t xml:space="preserve"> click on the View menu and choose Print Layout.</w:t>
      </w:r>
    </w:p>
    <w:p w:rsidR="00D11438" w:rsidRDefault="00D11438" w:rsidP="00D11438">
      <w:pPr>
        <w:pStyle w:val="PARAIndent"/>
      </w:pPr>
      <w:proofErr w:type="gramStart"/>
      <w:r>
        <w:t>--Second,</w:t>
      </w:r>
      <w:proofErr w:type="gramEnd"/>
      <w:r>
        <w:t xml:space="preserve"> place your cursor in the first paragraph. Go to the Format menu, choose Columns, choose one column Layout, and choose “apply to whole document” from the dropdown menu.</w:t>
      </w:r>
    </w:p>
    <w:p w:rsidR="00D11438" w:rsidRDefault="00D11438" w:rsidP="00D11438">
      <w:pPr>
        <w:pStyle w:val="PARAIndent"/>
      </w:pPr>
      <w:r>
        <w:t>--Third, click and drag the right margin bar to just over 4 inches in width.</w:t>
      </w:r>
    </w:p>
    <w:p w:rsidR="00D11438" w:rsidRDefault="00D11438" w:rsidP="00D11438">
      <w:pPr>
        <w:pStyle w:val="PARAIndent"/>
      </w:pPr>
      <w:r>
        <w:t>The graphics will stay in the “second” column, but you can drag them to the first column. Make the graphic wider to push out any text that may try to fill in next to the graphic.</w:t>
      </w:r>
    </w:p>
    <w:p w:rsidR="00D11438" w:rsidRPr="00594D78" w:rsidRDefault="005C261D" w:rsidP="00D11438">
      <w:pPr>
        <w:pStyle w:val="H2"/>
      </w:pPr>
      <w:r>
        <w:t>B</w:t>
      </w:r>
      <w:r w:rsidRPr="00791AA8">
        <w:t>.</w:t>
      </w:r>
      <w:r w:rsidR="00D11438" w:rsidRPr="007573E5">
        <w:rPr>
          <w:rFonts w:ascii="MS Gothic" w:eastAsia="MS Gothic" w:hAnsi="MS Gothic" w:cs="MS Gothic" w:hint="eastAsia"/>
        </w:rPr>
        <w:t> </w:t>
      </w:r>
      <w:r w:rsidRPr="00D11438">
        <w:t>FINAL STAGE USING WORD 6.0</w:t>
      </w:r>
    </w:p>
    <w:p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D11438" w:rsidRPr="00D11438" w:rsidRDefault="00EC5C8C" w:rsidP="00D11438">
      <w:pPr>
        <w:pStyle w:val="H2"/>
      </w:pPr>
      <w:r>
        <w:t>C</w:t>
      </w:r>
      <w:r w:rsidRPr="00791AA8">
        <w:t>.</w:t>
      </w:r>
      <w:r w:rsidR="00D11438" w:rsidRPr="007573E5">
        <w:rPr>
          <w:rFonts w:ascii="MS Gothic" w:eastAsia="MS Gothic" w:hAnsi="MS Gothic" w:cs="MS Gothic" w:hint="eastAsia"/>
        </w:rPr>
        <w:t> </w:t>
      </w:r>
      <w:r w:rsidRPr="00D11438">
        <w:t>REVIEW STAGE USING SCHOLARONE</w:t>
      </w:r>
      <w:r w:rsidRPr="00D11438">
        <w:rPr>
          <w:vertAlign w:val="superscript"/>
        </w:rPr>
        <w:t>®</w:t>
      </w:r>
      <w:r w:rsidRPr="00D11438">
        <w:t xml:space="preserve"> MANUSCRIPTS</w:t>
      </w:r>
    </w:p>
    <w:p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rsidR="00D11438" w:rsidRPr="001C50D7" w:rsidRDefault="00D11438" w:rsidP="00D11438">
      <w:pPr>
        <w:pStyle w:val="PARAIndent"/>
      </w:pPr>
      <w:r w:rsidRPr="001C50D7">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rsidR="00D11438" w:rsidRPr="00D11438" w:rsidRDefault="00EC5C8C" w:rsidP="00D11438">
      <w:pPr>
        <w:pStyle w:val="H2"/>
      </w:pPr>
      <w:r>
        <w:t>D</w:t>
      </w:r>
      <w:r w:rsidRPr="00791AA8">
        <w:t>.</w:t>
      </w:r>
      <w:r w:rsidR="00D11438" w:rsidRPr="007573E5">
        <w:rPr>
          <w:rFonts w:ascii="MS Gothic" w:eastAsia="MS Gothic" w:hAnsi="MS Gothic" w:cs="MS Gothic" w:hint="eastAsia"/>
        </w:rPr>
        <w:t> </w:t>
      </w:r>
      <w:r w:rsidRPr="00D11438">
        <w:t>FINAL STAGE USING SCHOLARONE</w:t>
      </w:r>
      <w:r>
        <w:t xml:space="preserve"> </w:t>
      </w:r>
      <w:r w:rsidRPr="00D11438">
        <w:t>MANUSCRIPTS</w:t>
      </w:r>
    </w:p>
    <w:p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rsidR="0001799E" w:rsidRPr="00D11438" w:rsidRDefault="00EC5C8C" w:rsidP="0001799E">
      <w:pPr>
        <w:pStyle w:val="H2"/>
      </w:pPr>
      <w:r>
        <w:t>E</w:t>
      </w:r>
      <w:r w:rsidRPr="00791AA8">
        <w:t>.</w:t>
      </w:r>
      <w:r w:rsidR="0001799E" w:rsidRPr="007573E5">
        <w:rPr>
          <w:rFonts w:ascii="MS Gothic" w:eastAsia="MS Gothic" w:hAnsi="MS Gothic" w:cs="MS Gothic" w:hint="eastAsia"/>
        </w:rPr>
        <w:t> </w:t>
      </w:r>
      <w:r w:rsidRPr="00D11438">
        <w:t>COPYRIGHT FORM</w:t>
      </w:r>
    </w:p>
    <w:p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rsidR="0001799E" w:rsidRPr="0001799E" w:rsidRDefault="0001799E" w:rsidP="0001799E">
      <w:pPr>
        <w:pStyle w:val="H1"/>
      </w:pPr>
      <w:r>
        <w:t>IX</w:t>
      </w:r>
      <w:r w:rsidRPr="005C3955">
        <w:t>.</w:t>
      </w:r>
      <w:r>
        <w:rPr>
          <w:rFonts w:ascii="MS Gothic" w:eastAsia="MS Gothic" w:hAnsi="MS Gothic" w:cs="MS Gothic"/>
        </w:rPr>
        <w:t> </w:t>
      </w:r>
      <w:r w:rsidRPr="0001799E">
        <w:t>IEEE PUBLISHING POLICY</w:t>
      </w:r>
    </w:p>
    <w:p w:rsidR="00BC4302" w:rsidRPr="00BC4302" w:rsidRDefault="0001799E" w:rsidP="00BC4302">
      <w:pPr>
        <w:pStyle w:val="PARA"/>
        <w:sectPr w:rsidR="00BC4302" w:rsidRPr="00BC4302" w:rsidSect="00422716">
          <w:footerReference w:type="default" r:id="rId15"/>
          <w:type w:val="continuous"/>
          <w:pgSz w:w="11520" w:h="15660" w:code="1"/>
          <w:pgMar w:top="1300" w:right="740" w:bottom="1040" w:left="740" w:header="360" w:footer="640" w:gutter="0"/>
          <w:cols w:num="2" w:space="400"/>
          <w:docGrid w:linePitch="360"/>
        </w:sectPr>
      </w:pPr>
      <w:r w:rsidRPr="00BC4302">
        <w:lastRenderedPageBreak/>
        <w:t xml:space="preserve">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w:t>
      </w:r>
      <w:r w:rsidRPr="00BC4302">
        <w:t xml:space="preserve">manuscript. Do not publish “preliminary” data or results. The submitting author is responsible for obtaining agreement of all coauthors and any consent required from employers or sponsors before submitting an article. The IEEE Access </w:t>
      </w:r>
    </w:p>
    <w:p w:rsidR="0001799E" w:rsidRPr="00BC4302" w:rsidRDefault="0001799E" w:rsidP="00BC4302">
      <w:pPr>
        <w:pStyle w:val="PARA"/>
      </w:pPr>
      <w:r w:rsidRPr="00BC4302">
        <w:t>Department strongly discourages courtesy authorship; it is the obligation of the authors to cite only relevant prior work.</w:t>
      </w:r>
    </w:p>
    <w:p w:rsidR="0001799E" w:rsidRPr="00BC4302" w:rsidRDefault="0001799E" w:rsidP="00BC4302">
      <w:pPr>
        <w:pStyle w:val="PARAIndent"/>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rsidR="0001799E" w:rsidRPr="0001799E" w:rsidRDefault="0001799E" w:rsidP="0001799E">
      <w:pPr>
        <w:pStyle w:val="H1"/>
      </w:pPr>
      <w:r>
        <w:t>X</w:t>
      </w:r>
      <w:r w:rsidRPr="005C3955">
        <w:t>.</w:t>
      </w:r>
      <w:r>
        <w:rPr>
          <w:rFonts w:ascii="MS Gothic" w:eastAsia="MS Gothic" w:hAnsi="MS Gothic" w:cs="MS Gothic"/>
        </w:rPr>
        <w:t> </w:t>
      </w:r>
      <w:r w:rsidRPr="0001799E">
        <w:t>PUBLICATION PRINCIPLES</w:t>
      </w:r>
    </w:p>
    <w:p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01799E" w:rsidRDefault="0001799E" w:rsidP="0001799E">
      <w:pPr>
        <w:pStyle w:val="PARAIndent"/>
      </w:pPr>
      <w:r>
        <w:t>Authors should consider the following points:</w:t>
      </w:r>
    </w:p>
    <w:p w:rsidR="0001799E" w:rsidRDefault="0001799E" w:rsidP="0001799E">
      <w:pPr>
        <w:pStyle w:val="Text"/>
        <w:numPr>
          <w:ilvl w:val="0"/>
          <w:numId w:val="13"/>
        </w:numPr>
      </w:pPr>
      <w:r>
        <w:t xml:space="preserve">Technical papers submitted for publication must advance the state of knowledge and must cite relevant prior work. </w:t>
      </w:r>
    </w:p>
    <w:p w:rsidR="0001799E" w:rsidRDefault="0001799E" w:rsidP="0001799E">
      <w:pPr>
        <w:pStyle w:val="Text"/>
        <w:numPr>
          <w:ilvl w:val="0"/>
          <w:numId w:val="13"/>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01799E" w:rsidRDefault="0001799E" w:rsidP="0001799E">
      <w:pPr>
        <w:pStyle w:val="Text"/>
        <w:numPr>
          <w:ilvl w:val="0"/>
          <w:numId w:val="13"/>
        </w:numPr>
      </w:pPr>
      <w:r>
        <w:t xml:space="preserve">Authors must convince both peer reviewers and the editors of the scientific and technical merit of a paper; the standards of proof are higher when extraordinary or unexpected results are reported. </w:t>
      </w:r>
    </w:p>
    <w:p w:rsidR="0001799E" w:rsidRDefault="0001799E" w:rsidP="0001799E">
      <w:pPr>
        <w:pStyle w:val="Text"/>
        <w:numPr>
          <w:ilvl w:val="0"/>
          <w:numId w:val="1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01799E" w:rsidRDefault="0001799E" w:rsidP="0001799E">
      <w:pPr>
        <w:pStyle w:val="Text"/>
        <w:numPr>
          <w:ilvl w:val="0"/>
          <w:numId w:val="13"/>
        </w:numPr>
      </w:pPr>
      <w:r>
        <w:t>Papers that describe ongoing work or announce the latest technical achievement, which are suitable for presentation at a professional conference, may not be appropriate for publication.</w:t>
      </w:r>
    </w:p>
    <w:p w:rsidR="0001799E" w:rsidRPr="0001799E" w:rsidRDefault="0001799E" w:rsidP="0001799E">
      <w:pPr>
        <w:pStyle w:val="H1"/>
      </w:pPr>
      <w:r w:rsidRPr="0001799E">
        <w:t>REFERENCES</w:t>
      </w: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rsidR="0001799E" w:rsidRPr="0001799E" w:rsidRDefault="0001799E" w:rsidP="0001799E">
      <w:pPr>
        <w:widowControl w:val="0"/>
        <w:autoSpaceDE w:val="0"/>
        <w:autoSpaceDN w:val="0"/>
        <w:adjustRightInd w:val="0"/>
        <w:ind w:right="-20"/>
      </w:pPr>
      <w:r w:rsidRPr="0001799E">
        <w:rPr>
          <w:i/>
          <w:iCs/>
        </w:rPr>
        <w:t>Examples:</w:t>
      </w:r>
    </w:p>
    <w:p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rsidR="0001799E" w:rsidRPr="0001799E" w:rsidRDefault="0001799E" w:rsidP="0001799E">
      <w:pPr>
        <w:autoSpaceDE w:val="0"/>
        <w:autoSpaceDN w:val="0"/>
        <w:adjustRightInd w:val="0"/>
        <w:rPr>
          <w:rFonts w:cs="TimesNewRomanPSMT"/>
          <w:i/>
        </w:rPr>
      </w:pPr>
      <w:r w:rsidRPr="0001799E">
        <w:rPr>
          <w:rFonts w:cs="TimesNewRomanPSMT"/>
          <w:i/>
        </w:rPr>
        <w:t>Examples:</w:t>
      </w:r>
    </w:p>
    <w:p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rsidR="0001799E" w:rsidRPr="0001799E" w:rsidRDefault="0001799E" w:rsidP="0001799E">
      <w:pPr>
        <w:pStyle w:val="References"/>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rsidR="0001799E" w:rsidRPr="0001799E" w:rsidRDefault="0001799E" w:rsidP="0001799E">
      <w:pPr>
        <w:widowControl w:val="0"/>
        <w:autoSpaceDE w:val="0"/>
        <w:autoSpaceDN w:val="0"/>
        <w:adjustRightInd w:val="0"/>
        <w:spacing w:before="37"/>
        <w:ind w:right="-20"/>
      </w:pPr>
      <w:r w:rsidRPr="0001799E">
        <w:rPr>
          <w:i/>
          <w:iCs/>
        </w:rPr>
        <w:t>Examples:</w:t>
      </w:r>
    </w:p>
    <w:p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rsidR="0001799E" w:rsidRPr="0001799E" w:rsidRDefault="0001799E" w:rsidP="00EC5C8C">
      <w:pPr>
        <w:pStyle w:val="References"/>
      </w:pPr>
      <w:r w:rsidRPr="0001799E">
        <w:lastRenderedPageBreak/>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rsidR="0001799E" w:rsidRPr="0001799E" w:rsidRDefault="0001799E" w:rsidP="0001799E">
      <w:pPr>
        <w:widowControl w:val="0"/>
        <w:autoSpaceDE w:val="0"/>
        <w:autoSpaceDN w:val="0"/>
        <w:adjustRightInd w:val="0"/>
        <w:spacing w:before="5" w:line="140" w:lineRule="exact"/>
        <w:rPr>
          <w:sz w:val="14"/>
          <w:szCs w:val="14"/>
        </w:rPr>
      </w:pPr>
    </w:p>
    <w:p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rsidR="0001799E" w:rsidRDefault="0001799E" w:rsidP="0001799E">
      <w:pPr>
        <w:widowControl w:val="0"/>
        <w:autoSpaceDE w:val="0"/>
        <w:autoSpaceDN w:val="0"/>
        <w:adjustRightInd w:val="0"/>
        <w:spacing w:line="239" w:lineRule="auto"/>
        <w:ind w:right="358"/>
        <w:rPr>
          <w:i/>
          <w:iCs/>
        </w:rPr>
      </w:pPr>
      <w:r w:rsidRPr="0001799E">
        <w:rPr>
          <w:i/>
          <w:iCs/>
        </w:rPr>
        <w:t>Examples:</w:t>
      </w:r>
    </w:p>
    <w:p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rsidR="0001799E" w:rsidRPr="0001799E" w:rsidRDefault="0001799E" w:rsidP="0001799E">
      <w:pPr>
        <w:widowControl w:val="0"/>
        <w:autoSpaceDE w:val="0"/>
        <w:autoSpaceDN w:val="0"/>
        <w:adjustRightInd w:val="0"/>
        <w:ind w:right="-20"/>
      </w:pPr>
      <w:r w:rsidRPr="0001799E">
        <w:rPr>
          <w:i/>
          <w:iCs/>
        </w:rPr>
        <w:t>Example:</w:t>
      </w:r>
    </w:p>
    <w:p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rsidR="0001799E" w:rsidRPr="0001799E" w:rsidRDefault="0001799E" w:rsidP="0001799E">
      <w:pPr>
        <w:widowControl w:val="0"/>
        <w:autoSpaceDE w:val="0"/>
        <w:autoSpaceDN w:val="0"/>
        <w:adjustRightInd w:val="0"/>
        <w:spacing w:before="1" w:line="180" w:lineRule="exact"/>
        <w:rPr>
          <w:sz w:val="18"/>
          <w:szCs w:val="18"/>
        </w:rPr>
      </w:pPr>
    </w:p>
    <w:p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rsidR="0001799E" w:rsidRPr="0001799E" w:rsidRDefault="0001799E" w:rsidP="0001799E">
      <w:pPr>
        <w:pStyle w:val="References"/>
        <w:jc w:val="left"/>
      </w:pPr>
      <w:proofErr w:type="spellStart"/>
      <w:r w:rsidRPr="0001799E">
        <w:t>Teralyzer</w:t>
      </w:r>
      <w:proofErr w:type="spellEnd"/>
      <w:r w:rsidRPr="0001799E">
        <w:t xml:space="preserve">.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rsidR="0001799E" w:rsidRPr="0001799E" w:rsidRDefault="0001799E" w:rsidP="0001799E">
      <w:pPr>
        <w:widowControl w:val="0"/>
        <w:autoSpaceDE w:val="0"/>
        <w:autoSpaceDN w:val="0"/>
        <w:adjustRightInd w:val="0"/>
        <w:spacing w:before="5" w:line="140" w:lineRule="exact"/>
        <w:rPr>
          <w:sz w:val="14"/>
          <w:szCs w:val="14"/>
        </w:rPr>
      </w:pPr>
    </w:p>
    <w:p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rsidR="0001799E" w:rsidRPr="0001799E" w:rsidRDefault="0001799E" w:rsidP="0001799E">
      <w:pPr>
        <w:widowControl w:val="0"/>
        <w:autoSpaceDE w:val="0"/>
        <w:autoSpaceDN w:val="0"/>
        <w:adjustRightInd w:val="0"/>
        <w:spacing w:before="37"/>
        <w:ind w:right="-20"/>
      </w:pPr>
      <w:r w:rsidRPr="0001799E">
        <w:rPr>
          <w:i/>
          <w:iCs/>
        </w:rPr>
        <w:t>Example:</w:t>
      </w:r>
    </w:p>
    <w:p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rsidR="0001799E" w:rsidRPr="0001799E" w:rsidRDefault="0001799E" w:rsidP="0001799E">
      <w:pPr>
        <w:pStyle w:val="References"/>
        <w:numPr>
          <w:ilvl w:val="0"/>
          <w:numId w:val="0"/>
        </w:numPr>
      </w:pPr>
    </w:p>
    <w:p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rsidR="0001799E" w:rsidRPr="0001799E" w:rsidRDefault="0001799E" w:rsidP="0001799E">
      <w:pPr>
        <w:widowControl w:val="0"/>
        <w:autoSpaceDE w:val="0"/>
        <w:autoSpaceDN w:val="0"/>
        <w:adjustRightInd w:val="0"/>
        <w:spacing w:before="6" w:line="140" w:lineRule="exact"/>
        <w:rPr>
          <w:sz w:val="14"/>
          <w:szCs w:val="14"/>
        </w:r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rsidR="0001799E" w:rsidRPr="0001799E" w:rsidRDefault="0001799E" w:rsidP="0001799E">
      <w:pPr>
        <w:widowControl w:val="0"/>
        <w:autoSpaceDE w:val="0"/>
        <w:autoSpaceDN w:val="0"/>
        <w:adjustRightInd w:val="0"/>
        <w:ind w:right="-20"/>
        <w:rPr>
          <w:i/>
        </w:rPr>
      </w:pPr>
      <w:r w:rsidRPr="0001799E">
        <w:rPr>
          <w:rFonts w:cs="TimesNewRomanPSMT"/>
          <w:i/>
        </w:rPr>
        <w:t>Example:</w:t>
      </w:r>
    </w:p>
    <w:p w:rsidR="0001799E" w:rsidRPr="0001799E" w:rsidRDefault="0001799E" w:rsidP="0001799E">
      <w:pPr>
        <w:pStyle w:val="References"/>
      </w:pPr>
      <w:r w:rsidRPr="0001799E">
        <w:t xml:space="preserve">G. </w:t>
      </w:r>
      <w:proofErr w:type="spellStart"/>
      <w:r w:rsidRPr="0001799E">
        <w:rPr>
          <w:spacing w:val="-2"/>
        </w:rPr>
        <w:t>B</w:t>
      </w:r>
      <w:r w:rsidRPr="0001799E">
        <w:t>randli</w:t>
      </w:r>
      <w:proofErr w:type="spellEnd"/>
      <w:r w:rsidRPr="0001799E">
        <w:t xml:space="preserve">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rsidR="0001799E" w:rsidRPr="0001799E" w:rsidRDefault="0001799E" w:rsidP="0001799E">
      <w:pPr>
        <w:rPr>
          <w:sz w:val="16"/>
          <w:szCs w:val="16"/>
        </w:rPr>
      </w:pPr>
      <w:r w:rsidRPr="0001799E">
        <w:rPr>
          <w:sz w:val="16"/>
          <w:szCs w:val="16"/>
        </w:rPr>
        <w:t>a) J. K. Author, “Title of thesis,” M.S. thesis, Abbrev. Dept., Abbrev. Univ., City of Univ., Abbrev. State, year.</w:t>
      </w:r>
    </w:p>
    <w:p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J. O. Williams, “Narrow-band analyzer,” Ph.D. dissertation, Dept. Elect. Eng., Harvard Univ., Cambridge, MA, USA, 1993.</w:t>
      </w:r>
    </w:p>
    <w:p w:rsidR="0001799E" w:rsidRPr="0001799E" w:rsidRDefault="0001799E" w:rsidP="0001799E">
      <w:pPr>
        <w:pStyle w:val="References"/>
      </w:pPr>
      <w:r w:rsidRPr="0001799E">
        <w:t>N. Kawasaki, “Parametric study of thermal and chemical nonequilibrium nozzle flow,” M.S. thesis, Dept. Electron. Eng., Osaka Univ., Osaka, Japan, 1993.</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rsidR="0001799E" w:rsidRPr="0001799E" w:rsidRDefault="0001799E" w:rsidP="0001799E">
      <w:pPr>
        <w:rPr>
          <w:sz w:val="16"/>
          <w:szCs w:val="16"/>
        </w:rPr>
      </w:pPr>
      <w:r w:rsidRPr="0001799E">
        <w:rPr>
          <w:sz w:val="16"/>
          <w:szCs w:val="16"/>
        </w:rPr>
        <w:t>a) J. K. Author, private communication, Abbrev. Month, year.</w:t>
      </w:r>
    </w:p>
    <w:p w:rsidR="0001799E" w:rsidRPr="0001799E" w:rsidRDefault="0001799E" w:rsidP="0001799E">
      <w:pPr>
        <w:rPr>
          <w:sz w:val="16"/>
          <w:szCs w:val="16"/>
        </w:rPr>
      </w:pPr>
      <w:r w:rsidRPr="0001799E">
        <w:rPr>
          <w:sz w:val="16"/>
          <w:szCs w:val="16"/>
        </w:rPr>
        <w:t>b) J. K. Author, “Title of paper,” unpublished.</w:t>
      </w:r>
    </w:p>
    <w:p w:rsidR="0001799E" w:rsidRPr="0001799E" w:rsidRDefault="0001799E" w:rsidP="0001799E">
      <w:pPr>
        <w:rPr>
          <w:sz w:val="16"/>
          <w:szCs w:val="16"/>
        </w:rPr>
      </w:pPr>
      <w:r w:rsidRPr="0001799E">
        <w:rPr>
          <w:sz w:val="16"/>
          <w:szCs w:val="16"/>
        </w:rPr>
        <w:t>c) J. K. Author, “Title of paper,” to be published.</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pPr>
      <w:r w:rsidRPr="0001799E">
        <w:t>A. Harrison, private communication, May 1995.</w:t>
      </w:r>
    </w:p>
    <w:p w:rsidR="0001799E" w:rsidRPr="0001799E" w:rsidRDefault="0001799E" w:rsidP="0001799E">
      <w:pPr>
        <w:pStyle w:val="References"/>
      </w:pPr>
      <w:r w:rsidRPr="0001799E">
        <w:t>B. Smith, “An approach to graphs of linear forms,” unpublished.</w:t>
      </w:r>
    </w:p>
    <w:p w:rsidR="0001799E" w:rsidRPr="0001799E" w:rsidRDefault="0001799E" w:rsidP="0001799E">
      <w:pPr>
        <w:pStyle w:val="References"/>
      </w:pPr>
      <w:r w:rsidRPr="0001799E">
        <w:t>A. Brahms, “Representation error for real numbers in binary computer arithmetic,” IEEE Computer Group Repository, Paper R-67-85.</w:t>
      </w:r>
    </w:p>
    <w:p w:rsidR="0001799E" w:rsidRPr="0001799E" w:rsidRDefault="0001799E" w:rsidP="0001799E">
      <w:pPr>
        <w:pStyle w:val="References"/>
        <w:numPr>
          <w:ilvl w:val="0"/>
          <w:numId w:val="0"/>
        </w:numPr>
      </w:pPr>
    </w:p>
    <w:p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rsidR="0001799E" w:rsidRPr="0001799E" w:rsidRDefault="0001799E" w:rsidP="0001799E">
      <w:pPr>
        <w:pStyle w:val="References"/>
        <w:numPr>
          <w:ilvl w:val="0"/>
          <w:numId w:val="0"/>
        </w:numPr>
        <w:ind w:left="540" w:hanging="360"/>
        <w:rPr>
          <w:rFonts w:cs="TimesNewRomanPSMT"/>
        </w:rPr>
      </w:pPr>
    </w:p>
    <w:p w:rsidR="00EC5C8C" w:rsidRDefault="00EC5C8C" w:rsidP="0001799E">
      <w:pPr>
        <w:rPr>
          <w:i/>
        </w:rPr>
      </w:pPr>
    </w:p>
    <w:p w:rsidR="00EC5C8C" w:rsidRDefault="00EC5C8C" w:rsidP="0001799E">
      <w:pPr>
        <w:rPr>
          <w:i/>
        </w:rPr>
      </w:pPr>
    </w:p>
    <w:p w:rsidR="0001799E" w:rsidRPr="0001799E" w:rsidRDefault="0001799E" w:rsidP="0001799E">
      <w:pPr>
        <w:rPr>
          <w:rFonts w:cs="Arial"/>
          <w:i/>
          <w:sz w:val="19"/>
          <w:szCs w:val="19"/>
        </w:rPr>
      </w:pPr>
      <w:r w:rsidRPr="0001799E">
        <w:rPr>
          <w:i/>
        </w:rPr>
        <w:t>Article number in reference examples:</w:t>
      </w:r>
    </w:p>
    <w:p w:rsidR="0001799E" w:rsidRPr="0001799E" w:rsidRDefault="0001799E" w:rsidP="0001799E">
      <w:pPr>
        <w:pStyle w:val="References"/>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rsidR="0001799E" w:rsidRDefault="0001799E" w:rsidP="0001799E">
      <w:pPr>
        <w:pStyle w:val="References"/>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rsidR="0062439C" w:rsidRDefault="00AF5C1A" w:rsidP="00622CC0">
      <w:pPr>
        <w:pStyle w:val="AUBios"/>
      </w:pPr>
      <w:r>
        <w:rPr>
          <w:noProof/>
        </w:rPr>
        <w:drawing>
          <wp:anchor distT="0" distB="0" distL="114300" distR="114300" simplePos="0" relativeHeight="251656704" behindDoc="0" locked="0" layoutInCell="1" allowOverlap="1">
            <wp:simplePos x="0" y="0"/>
            <wp:positionH relativeFrom="column">
              <wp:posOffset>-9525</wp:posOffset>
            </wp:positionH>
            <wp:positionV relativeFrom="paragraph">
              <wp:posOffset>859790</wp:posOffset>
            </wp:positionV>
            <wp:extent cx="914400" cy="1174750"/>
            <wp:effectExtent l="0" t="0" r="0" b="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6A0B53" w:rsidRDefault="006A0B53" w:rsidP="006A0B53">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rsidR="00EC5C8C" w:rsidRDefault="00EC5C8C" w:rsidP="00EC5C8C">
      <w:pPr>
        <w:pStyle w:val="AUBiosNoSpace"/>
        <w:ind w:firstLine="0"/>
      </w:pPr>
    </w:p>
    <w:p w:rsidR="00EC5C8C" w:rsidRDefault="00EC5C8C"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Default="0003253A" w:rsidP="00EC5C8C">
      <w:pPr>
        <w:pStyle w:val="AUBiosNoSpace"/>
        <w:ind w:firstLine="0"/>
      </w:pPr>
    </w:p>
    <w:p w:rsidR="0003253A" w:rsidRPr="00E96A3A" w:rsidRDefault="0003253A" w:rsidP="0003253A">
      <w:pPr>
        <w:pStyle w:val="FigureCaption"/>
        <w:rPr>
          <w:sz w:val="20"/>
          <w:szCs w:val="20"/>
        </w:rPr>
      </w:pPr>
    </w:p>
    <w:p w:rsidR="0003253A" w:rsidRPr="0003253A" w:rsidRDefault="00AF5C1A" w:rsidP="0003253A">
      <w:pPr>
        <w:adjustRightInd w:val="0"/>
        <w:jc w:val="both"/>
        <w:rPr>
          <w:sz w:val="16"/>
          <w:szCs w:val="16"/>
        </w:rPr>
      </w:pPr>
      <w:r w:rsidRPr="0003253A">
        <w:rPr>
          <w:rFonts w:ascii="Helvetica" w:hAnsi="Helvetica"/>
          <w:noProof/>
          <w:sz w:val="16"/>
          <w:szCs w:val="16"/>
        </w:rPr>
        <w:drawing>
          <wp:anchor distT="0" distB="0" distL="114300" distR="114300" simplePos="0" relativeHeight="251657728"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Default="0003253A" w:rsidP="0003253A">
      <w:pPr>
        <w:pStyle w:val="AUBiosNoSpace"/>
        <w:ind w:firstLine="0"/>
      </w:pPr>
    </w:p>
    <w:p w:rsidR="0003253A" w:rsidRPr="0003253A" w:rsidRDefault="00AF5C1A" w:rsidP="0003253A">
      <w:pPr>
        <w:adjustRightInd w:val="0"/>
        <w:jc w:val="both"/>
        <w:rPr>
          <w:rFonts w:ascii="Times-Roman" w:hAnsi="Times-Roman" w:cs="Times-Roman"/>
          <w:sz w:val="16"/>
          <w:szCs w:val="16"/>
        </w:rPr>
      </w:pPr>
      <w:r w:rsidRPr="0003253A">
        <w:rPr>
          <w:rFonts w:ascii="Helvetica" w:hAnsi="Helvetica"/>
          <w:noProof/>
          <w:sz w:val="16"/>
          <w:szCs w:val="16"/>
        </w:rPr>
        <w:drawing>
          <wp:anchor distT="0" distB="118745" distL="114300" distR="114300" simplePos="0" relativeHeight="251658752"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03253A" w:rsidRPr="006A0B53" w:rsidRDefault="0003253A" w:rsidP="0003253A">
      <w:pPr>
        <w:pStyle w:val="AUBiosNoSpace"/>
        <w:ind w:firstLine="0"/>
      </w:pPr>
    </w:p>
    <w:sectPr w:rsidR="0003253A" w:rsidRPr="006A0B53" w:rsidSect="00422716">
      <w:footerReference w:type="default" r:id="rId19"/>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05D70" w:rsidRDefault="00C05D70">
      <w:r>
        <w:separator/>
      </w:r>
    </w:p>
  </w:endnote>
  <w:endnote w:type="continuationSeparator" w:id="0">
    <w:p w:rsidR="00C05D70" w:rsidRDefault="00C05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Times-Roman">
    <w:altName w:val="Times New Roman"/>
    <w:panose1 w:val="0000050000000002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Italic">
    <w:altName w:val="Times New Roman"/>
    <w:panose1 w:val="00000500000000090000"/>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00F5" w:rsidRPr="00B979BB" w:rsidRDefault="003F00F5"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00F5" w:rsidRPr="00B979BB" w:rsidRDefault="003F00F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00F5" w:rsidRPr="00B979BB" w:rsidRDefault="003F00F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00F5" w:rsidRPr="00B979BB" w:rsidRDefault="003F00F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05D70" w:rsidRDefault="00C05D70">
      <w:r>
        <w:separator/>
      </w:r>
    </w:p>
  </w:footnote>
  <w:footnote w:type="continuationSeparator" w:id="0">
    <w:p w:rsidR="00C05D70" w:rsidRDefault="00C05D70">
      <w:r>
        <w:continuationSeparator/>
      </w:r>
    </w:p>
  </w:footnote>
  <w:footnote w:id="1">
    <w:p w:rsidR="003F00F5" w:rsidRDefault="003F00F5"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00F5" w:rsidRPr="00E721A9" w:rsidRDefault="003F00F5"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97307"/>
    <w:rsid w:val="000A1FA2"/>
    <w:rsid w:val="000A3B16"/>
    <w:rsid w:val="000A40E6"/>
    <w:rsid w:val="000B2C18"/>
    <w:rsid w:val="000B330B"/>
    <w:rsid w:val="000B7135"/>
    <w:rsid w:val="000C01F4"/>
    <w:rsid w:val="000C0E3B"/>
    <w:rsid w:val="000C221B"/>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359F8"/>
    <w:rsid w:val="00241628"/>
    <w:rsid w:val="00242C14"/>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FFE"/>
    <w:rsid w:val="003C1744"/>
    <w:rsid w:val="003C4EA9"/>
    <w:rsid w:val="003C615D"/>
    <w:rsid w:val="003D112E"/>
    <w:rsid w:val="003D12A0"/>
    <w:rsid w:val="003D1A98"/>
    <w:rsid w:val="003D3FE2"/>
    <w:rsid w:val="003D4E93"/>
    <w:rsid w:val="003D640F"/>
    <w:rsid w:val="003D7316"/>
    <w:rsid w:val="003E17F3"/>
    <w:rsid w:val="003F00F5"/>
    <w:rsid w:val="003F7D7E"/>
    <w:rsid w:val="00402953"/>
    <w:rsid w:val="00410A00"/>
    <w:rsid w:val="0041108E"/>
    <w:rsid w:val="004127AE"/>
    <w:rsid w:val="0041399D"/>
    <w:rsid w:val="00417315"/>
    <w:rsid w:val="00420CA6"/>
    <w:rsid w:val="00422716"/>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E1441"/>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27F"/>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EFC"/>
    <w:rsid w:val="00767D54"/>
    <w:rsid w:val="00777554"/>
    <w:rsid w:val="00777FC6"/>
    <w:rsid w:val="0078331C"/>
    <w:rsid w:val="00785008"/>
    <w:rsid w:val="00786FBC"/>
    <w:rsid w:val="007908A3"/>
    <w:rsid w:val="00791AA8"/>
    <w:rsid w:val="00791FC4"/>
    <w:rsid w:val="00795E68"/>
    <w:rsid w:val="00796645"/>
    <w:rsid w:val="00797D6C"/>
    <w:rsid w:val="007A1AE0"/>
    <w:rsid w:val="007A3BCE"/>
    <w:rsid w:val="007B0961"/>
    <w:rsid w:val="007B42EE"/>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E54"/>
    <w:rsid w:val="009A239C"/>
    <w:rsid w:val="009A3976"/>
    <w:rsid w:val="009A3AAF"/>
    <w:rsid w:val="009A3EAE"/>
    <w:rsid w:val="009A4956"/>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4313"/>
    <w:rsid w:val="009F494B"/>
    <w:rsid w:val="00A009EA"/>
    <w:rsid w:val="00A07761"/>
    <w:rsid w:val="00A12D02"/>
    <w:rsid w:val="00A139C5"/>
    <w:rsid w:val="00A17980"/>
    <w:rsid w:val="00A179A1"/>
    <w:rsid w:val="00A21E33"/>
    <w:rsid w:val="00A21E81"/>
    <w:rsid w:val="00A25047"/>
    <w:rsid w:val="00A30934"/>
    <w:rsid w:val="00A33184"/>
    <w:rsid w:val="00A36342"/>
    <w:rsid w:val="00A42896"/>
    <w:rsid w:val="00A43179"/>
    <w:rsid w:val="00A44011"/>
    <w:rsid w:val="00A4771A"/>
    <w:rsid w:val="00A50D78"/>
    <w:rsid w:val="00A52005"/>
    <w:rsid w:val="00A53223"/>
    <w:rsid w:val="00A57BE7"/>
    <w:rsid w:val="00A6563F"/>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709A"/>
    <w:rsid w:val="00AF5C1A"/>
    <w:rsid w:val="00AF7E75"/>
    <w:rsid w:val="00B00868"/>
    <w:rsid w:val="00B06847"/>
    <w:rsid w:val="00B07042"/>
    <w:rsid w:val="00B071FD"/>
    <w:rsid w:val="00B159DB"/>
    <w:rsid w:val="00B24F0E"/>
    <w:rsid w:val="00B342ED"/>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4777"/>
    <w:rsid w:val="00BE5C59"/>
    <w:rsid w:val="00BF47AC"/>
    <w:rsid w:val="00C017C5"/>
    <w:rsid w:val="00C02BA6"/>
    <w:rsid w:val="00C03393"/>
    <w:rsid w:val="00C05D70"/>
    <w:rsid w:val="00C061C7"/>
    <w:rsid w:val="00C07C7D"/>
    <w:rsid w:val="00C1435D"/>
    <w:rsid w:val="00C162ED"/>
    <w:rsid w:val="00C202C1"/>
    <w:rsid w:val="00C2639C"/>
    <w:rsid w:val="00C263CC"/>
    <w:rsid w:val="00C34A5B"/>
    <w:rsid w:val="00C34DD6"/>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988"/>
    <w:rsid w:val="00CA2EC3"/>
    <w:rsid w:val="00CA4724"/>
    <w:rsid w:val="00CA731C"/>
    <w:rsid w:val="00CB00BE"/>
    <w:rsid w:val="00CB13E7"/>
    <w:rsid w:val="00CB191E"/>
    <w:rsid w:val="00CB2604"/>
    <w:rsid w:val="00CB3F7E"/>
    <w:rsid w:val="00CB7E0F"/>
    <w:rsid w:val="00CC06D9"/>
    <w:rsid w:val="00CC32B5"/>
    <w:rsid w:val="00CC4731"/>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B6A"/>
    <w:rsid w:val="00D04273"/>
    <w:rsid w:val="00D055A3"/>
    <w:rsid w:val="00D06451"/>
    <w:rsid w:val="00D10464"/>
    <w:rsid w:val="00D11438"/>
    <w:rsid w:val="00D11F00"/>
    <w:rsid w:val="00D11FD0"/>
    <w:rsid w:val="00D1286E"/>
    <w:rsid w:val="00D210E0"/>
    <w:rsid w:val="00D26E50"/>
    <w:rsid w:val="00D30B3E"/>
    <w:rsid w:val="00D321C7"/>
    <w:rsid w:val="00D41CF4"/>
    <w:rsid w:val="00D44556"/>
    <w:rsid w:val="00D45F11"/>
    <w:rsid w:val="00D45F7B"/>
    <w:rsid w:val="00D518FB"/>
    <w:rsid w:val="00D54DB4"/>
    <w:rsid w:val="00D56750"/>
    <w:rsid w:val="00D623F3"/>
    <w:rsid w:val="00D62A61"/>
    <w:rsid w:val="00D6550C"/>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7966"/>
    <w:rsid w:val="00DC59D1"/>
    <w:rsid w:val="00DC7D0F"/>
    <w:rsid w:val="00DD2B2D"/>
    <w:rsid w:val="00DD6641"/>
    <w:rsid w:val="00DE168E"/>
    <w:rsid w:val="00DF172F"/>
    <w:rsid w:val="00DF17BF"/>
    <w:rsid w:val="00DF2140"/>
    <w:rsid w:val="00DF49FE"/>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5D2D"/>
    <w:rsid w:val="00EB0BA5"/>
    <w:rsid w:val="00EB3128"/>
    <w:rsid w:val="00EB7F44"/>
    <w:rsid w:val="00EC189B"/>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0C3D"/>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16A059"/>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lang w:eastAsia="zh-CN"/>
    </w:rPr>
  </w:style>
  <w:style w:type="character" w:styleId="PlaceholderText">
    <w:name w:val="Placeholder Text"/>
    <w:basedOn w:val="DefaultParagraphFont"/>
    <w:uiPriority w:val="99"/>
    <w:semiHidden/>
    <w:rsid w:val="00D05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graphicsqc.ieee.org/"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graphics@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12</Pages>
  <Words>8400</Words>
  <Characters>47882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56170</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3</cp:revision>
  <cp:lastPrinted>2017-09-13T20:58:00Z</cp:lastPrinted>
  <dcterms:created xsi:type="dcterms:W3CDTF">2019-01-18T15:21:00Z</dcterms:created>
  <dcterms:modified xsi:type="dcterms:W3CDTF">2020-06-12T13:50:00Z</dcterms:modified>
</cp:coreProperties>
</file>