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演講主題：開幕致詞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 xml:space="preserve">演講者：陳佩利 副署長 / Pei-Li CHEN, Deputy Director General, Industrial Development Administration, Ministry of Economic Affairs 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