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演講主題：再生醫療產業鏈的國際接軌：台灣與國際合作的挑戰與機會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 xml:space="preserve">演講者：何弘能 總顧問 / Hong-Neng HO, General Consultant, Taipei Medical University 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