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jc w:val="center"/>
        <w:tblLayout w:type="fixed"/>
        <w:tblLook w:firstColumn="1" w:firstRow="1" w:lastColumn="0" w:lastRow="0" w:noHBand="0" w:noVBand="1" w:val="04A0"/>
        <w:tblW w:w="10540" w:type="dxa"/>
        <w:tblCellMar>
          <w:left w:w="68" w:type="dxa"/>
          <w:right w:w="68" w:type="dxa"/>
          <w:top w:w="0" w:type="dxa"/>
          <w:bottom w:w="0" w:type="dxa"/>
        </w:tblCellMar>
      </w:tblPr>
      <w:tblGrid>
        <w:gridCol w:w="4791"/>
        <w:gridCol w:w="2874"/>
        <w:gridCol w:w="2874"/>
      </w:tblGrid>
      <w:tr>
        <w:trPr>
          <w:trHeight w:val="510" w:hRule="atLeast"/>
        </w:trPr>
        <w:tc>
          <w:tcPr>
            <w:tcW w:type="dxa" w:w="3513"/>
          </w:tcPr>
          <w:p>
            <w:pPr>
              <w:jc w:val="center"/>
            </w:pPr>
            <w:r>
              <w:rPr>
                <w:sz w:val="22"/>
              </w:rPr>
              <w:t>Topic / 主題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sz w:val="22"/>
              </w:rPr>
              <w:t>Speaker / 講者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sz w:val="22"/>
              </w:rPr>
              <w:t>Sign-in / 簽到</w:t>
            </w:r>
          </w:p>
        </w:tc>
      </w:tr>
      <w:tr>
        <w:trPr>
          <w:trHeight w:val="567" w:hRule="atLeast"/>
        </w:trPr>
        <w:tc>
          <w:tcPr>
            <w:tcW w:type="dxa" w:w="4791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4791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4791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4791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4791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4791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4791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</w:tr>
      <w:tr>
        <w:trPr>
          <w:trHeight w:val="567" w:hRule="atLeast"/>
        </w:trPr>
        <w:tc>
          <w:tcPr>
            <w:tcW w:type="dxa" w:w="4791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  <w:tc>
          <w:tcPr>
            <w:tcW w:type="dxa" w:w="2874"/>
          </w:tcPr>
          <w:p>
            <w:pPr>
              <w:jc w:val="left"/>
            </w:pPr>
            <w:r>
              <w:rPr>
                <w:sz w:val="22"/>
              </w:rPr>
              <w:t xml:space="preserve"> </w:t>
            </w:r>
          </w:p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