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標楷體"/>
          <w:b/>
          <w:sz w:val="32"/>
        </w:rPr>
        <w:t>鏈結全球、啟動合作：台灣再生醫療邁向國際市場的策略與契機</w:t>
      </w:r>
    </w:p>
    <w:p>
      <w:pPr>
        <w:jc w:val="center"/>
      </w:pPr>
      <w:r>
        <w:rPr>
          <w:rFonts w:ascii="Times New Roman" w:hAnsi="Times New Roman" w:eastAsia="標楷體"/>
          <w:b/>
          <w:sz w:val="32"/>
        </w:rPr>
        <w:t>鏈結全球、啟動合作：台灣再生醫療邁向國際市場的策略與契機</w:t>
      </w:r>
    </w:p>
    <w:p>
      <w:pPr>
        <w:jc w:val="center"/>
      </w:pPr>
      <w:r>
        <w:rPr>
          <w:rFonts w:ascii="Times New Roman" w:hAnsi="Times New Roman" w:eastAsia="標楷體"/>
          <w:b/>
          <w:sz w:val="32"/>
        </w:rPr>
        <w:t>講員簽到單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10540" w:type="dxa"/>
        <w:tblCellMar>
          <w:left w:w="68" w:type="dxa"/>
          <w:right w:w="68" w:type="dxa"/>
          <w:top w:w="0" w:type="dxa"/>
          <w:bottom w:w="0" w:type="dxa"/>
        </w:tblCellMar>
      </w:tblPr>
      <w:tblGrid>
        <w:gridCol w:w="4535"/>
        <w:gridCol w:w="4535"/>
        <w:gridCol w:w="1468"/>
      </w:tblGrid>
      <w:tr>
        <w:trPr>
          <w:trHeight w:val="510" w:hRule="atLeast"/>
          <w:tblHeader w:val="true"/>
        </w:trPr>
        <w:tc>
          <w:tcPr>
            <w:tcW w:type="dxa" w:w="3513"/>
            <w:vAlign w:val="center"/>
            <w:shd w:val="clear" w:color="auto" w:fill="BFBFB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8"/>
              </w:rPr>
              <w:t>主題 Topic</w:t>
            </w:r>
          </w:p>
        </w:tc>
        <w:tc>
          <w:tcPr>
            <w:tcW w:type="dxa" w:w="3513"/>
            <w:vAlign w:val="center"/>
            <w:shd w:val="clear" w:color="auto" w:fill="BFBFB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8"/>
              </w:rPr>
              <w:t>姓名 Name</w:t>
            </w:r>
          </w:p>
        </w:tc>
        <w:tc>
          <w:tcPr>
            <w:tcW w:type="dxa" w:w="3513"/>
            <w:vAlign w:val="center"/>
            <w:shd w:val="clear" w:color="auto" w:fill="BFBFB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8"/>
              </w:rPr>
              <w:t>簽到 Sign-in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Sean Nam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Project Leader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YJ bio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Ting-Wan Lin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處長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GenomeFrontier Therapeutics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丁僑萱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台安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尤宗富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副總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Ainos Inc.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王一民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副總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富美鑫科技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王丹薇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PM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先驅生技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王志鵬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副所長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財團法人生物技術開發中心平台所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王怡瑄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研究生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喬治華盛頓大學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王俊凱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特助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喬璞科技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王俊凱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總監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上岳科技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王炯琅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院長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清福醫院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王美純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精準醫療暨病歷資訊管理顧問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三軍總醫院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王美蘋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經濟部生技醫藥產業發展推動小組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王琇瑩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BPIPO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王莉茜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業務開發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懿丹有限公司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王嘉嫃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副總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創笙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王麗雅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財團法人生物技術開發中心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王繼中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董事長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統園企業股份有限公司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申忠哲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大健康中心主任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智璞產業趨勢研究所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何玉琴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產品專員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禾豐醫企業有限公司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何明怡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基龍米克斯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何菁樺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執行長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斐然國際事業有限公司/營業部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吳玉珍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研究助理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國衛院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吳杰浩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執行副總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醫新生命科學股份有限公司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吳純慧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皮膚科醫師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泛亞皮膚科整形外科診所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吳逸盈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仲恩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吳雅婷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現場應用專員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Bio-techne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呂俊甫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代理組長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花蓮慈濟醫院/基因暨幹細胞研製中心製劑組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呂銘洋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副教授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台大公衛學院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巫承翰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阮綜合醫院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李幸懋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總經理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艾默生物醫學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李明昌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Vertex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李瑞雄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協理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亞洲生技館科技股份有限公司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李瀚逸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藍海之星生物科技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周宜黎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微體生物醫學股份有限公司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周俊融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執行長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常欣投資/常欣科技顧問股份有限公司/生技投資研究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周冠生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主治醫師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國泰醫院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周峰正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資深經理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樂迦再生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周錇渟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顧問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Glg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宗建台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董事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嘉會生技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林才祐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組長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生技中心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林宏基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顧問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麗寶新藥生技股份有限公司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林秀霞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技術長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博惠生技/生產技術處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林佳薇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資深經理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生技中心/藥品商品化中心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林政德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DB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歐普生醫科技有限公司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林美君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國泰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林鑫秀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醫學寫作專員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台灣百濟神州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柯怡如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工業技術研究院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柯閎仁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資深專員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路迦生醫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洪偉玲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技正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國發會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洪麗雅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太豪生醫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TaiHao Medicine lnc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倪巧容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財團法人生物技術開發中心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徐明嘉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產品經理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博克科技股份有限公司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徐彬嚴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副總經理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台安生技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徐祥祐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學生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國立陽明交通大學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徐維軒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負責人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光璞生技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徐慰婷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事業發展部經理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納維再生科技股份有限公司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徐霜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研究助理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路迦生醫股份有限公司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高文賢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CEO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隆信通信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高瑞文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專案研究業務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台美檢驗科技股份有限公司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張克中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主治醫師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晶翎美學診所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張念中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教授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北醫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張峻菁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工業技術研究院/產科國際所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張嵩昊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安美得生醫/事業發展部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張靜蓉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PM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百朗克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梁智強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永心生醫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許乃云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資深專員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台灣三菱商事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許淑幸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執行長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瑞福生醫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連莉莉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Senior Director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東源國際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郭永斌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處長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瑞河再生醫學/研發處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郭哲成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產品行銷總監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亞果生醫股份有限公司／行銷業務處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陳位存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秘書長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台灣組織庫學會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陳忠漢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歐普生醫科技有限公司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陳昌元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西藥產品發展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友華生技醫藥股份有限公司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陳威成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品保經理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瑛維翠斯有限公司/品保部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陳建璋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研究生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臺北大學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陳韋呈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經濟部生醫推動小組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陳時民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巨新科技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陳啟祥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顧問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聯亞藥業股份有限公司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陳蕙蘭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副主任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經濟部生技醫藥產業發展推動小組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傅中柱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技術員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聯合報系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單佩文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藥師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康煜生技顧問(股)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曾立利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董事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亞洲生技館科技股份有限公司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曾彥皆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專案經理（PM）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萊泀股份有限公司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曾昭賢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博克科技股份有限公司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馮台英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顧問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點吾企業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黃柏蒼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AnTaimmu BioMed Co., Ltd.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黃紀明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V.P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ABLE  H&amp;S  CO.,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黃雅瑤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執行長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普瑞默生物科技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黃薇靜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協理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上毅生技/研發部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楊倉隆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顧問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丞運汽車服務中心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楊媛婷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CPO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全美生技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楊蕓瑋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副總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誠鴻長生學健康管理顧問有限公司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葉彥秀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NTU Spark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詹仲豪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長盛科技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劉乃菁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資深協理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順天醫藥/新藥開發處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劉軍毅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總經理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捷強生技有限公司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蔡文評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儀器專員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騰達行企業股份有限公司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蔡佳良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路迦生醫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盧怡吟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秘書長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中華無菌製劑協會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盧冠名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仲恩生醫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賴世育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事業開發經理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騰達行企業股份有限公司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賴泓誌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醫師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新光醫院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賴貞儀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協理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宏騏實業股份有限公司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賴貞儀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協理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宏騏實業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戴珮涵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專案經理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基龍米克斯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謝昌訓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總經理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啟昌生技股份有限公司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謝明娟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技術專員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訊聯生技/造血實驗室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謝綺瀅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負責人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晶翎美學診所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簡珮如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創辦人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詠捷醫事檢驗所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簡皎芸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實驗室主管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騰達行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麗瑾莊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資深客戶經理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CRO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蘇文琳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董事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久裕企業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 xml:space="preserve">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龔學偉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業務副理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百昌生物醫藥科技股份有限公司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