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F4F2D">
      <w:pPr>
        <w:spacing w:after="60"/>
        <w:jc w:val="center"/>
      </w:pPr>
      <w:r>
        <w:rPr>
          <w:b/>
          <w:bCs/>
          <w:color w:val="1F4E79"/>
          <w:sz w:val="20"/>
          <w:szCs w:val="20"/>
        </w:rPr>
        <w:t>CONCOURS INNOVATIONS ÉNERGIE ET HYDROCARBURES</w:t>
      </w:r>
    </w:p>
    <w:p w14:paraId="4F06E3B5">
      <w:pPr>
        <w:spacing w:after="300"/>
        <w:jc w:val="center"/>
      </w:pPr>
      <w:r>
        <w:rPr>
          <w:i/>
          <w:iCs/>
          <w:color w:val="595959"/>
          <w:sz w:val="18"/>
          <w:szCs w:val="18"/>
        </w:rPr>
        <w:t>1ère Semaine de l'Énergie, des Mines et des Hydrocarbures de l'AES (SEMH-AES) — 8ème SAMAO 2026</w:t>
      </w:r>
    </w:p>
    <w:p w14:paraId="5D94433B">
      <w:pPr>
        <w:spacing w:after="40"/>
        <w:jc w:val="center"/>
      </w:pPr>
      <w:r>
        <w:rPr>
          <w:b/>
          <w:bCs/>
          <w:color w:val="C00000"/>
          <w:sz w:val="44"/>
          <w:szCs w:val="44"/>
        </w:rPr>
        <w:t>TRACE-AES</w:t>
      </w:r>
    </w:p>
    <w:p w14:paraId="7C5A5815">
      <w:pPr>
        <w:spacing w:after="60"/>
        <w:jc w:val="center"/>
      </w:pPr>
      <w:r>
        <w:rPr>
          <w:color w:val="1F4E79"/>
          <w:sz w:val="24"/>
          <w:szCs w:val="24"/>
        </w:rPr>
        <w:t>Traçabilité et Régulation Anti-fraude des Carburants dans l'Espace AES</w:t>
      </w:r>
    </w:p>
    <w:p w14:paraId="61FA1EBE">
      <w:pPr>
        <w:spacing w:after="400"/>
        <w:jc w:val="center"/>
      </w:pPr>
      <w:r>
        <w:rPr>
          <w:i/>
          <w:iCs/>
          <w:color w:val="595959"/>
          <w:sz w:val="20"/>
          <w:szCs w:val="20"/>
        </w:rPr>
        <w:t>Une chaîne de garde numérique pour le transport et la distribution des hydrocarbures</w:t>
      </w:r>
    </w:p>
    <w:p w14:paraId="73A13F1D">
      <w:pPr>
        <w:pStyle w:val="2"/>
        <w:pBdr>
          <w:bottom w:val="single" w:color="1F4E79" w:sz="6" w:space="4"/>
        </w:pBdr>
        <w:spacing w:before="320" w:after="140"/>
      </w:pPr>
      <w:r>
        <w:rPr>
          <w:b/>
          <w:bCs/>
          <w:color w:val="1F4E79"/>
          <w:sz w:val="26"/>
          <w:szCs w:val="26"/>
        </w:rPr>
        <w:t>1. Porteur du projet</w:t>
      </w:r>
    </w:p>
    <w:p w14:paraId="26A70CB1">
      <w:pPr>
        <w:spacing w:after="80"/>
      </w:pPr>
      <w:r>
        <w:rPr>
          <w:b/>
          <w:bCs/>
          <w:sz w:val="22"/>
          <w:szCs w:val="22"/>
        </w:rPr>
        <w:t xml:space="preserve">Nom : </w:t>
      </w:r>
      <w:r>
        <w:rPr>
          <w:sz w:val="22"/>
          <w:szCs w:val="22"/>
        </w:rPr>
        <w:t>Ouattara Sié Abdoul Rachid</w:t>
      </w:r>
    </w:p>
    <w:p w14:paraId="794030DF">
      <w:pPr>
        <w:spacing w:after="80"/>
        <w:rPr>
          <w:rFonts w:hint="default"/>
          <w:lang w:val="en-US"/>
        </w:rPr>
      </w:pPr>
      <w:r>
        <w:rPr>
          <w:b/>
          <w:bCs/>
          <w:sz w:val="22"/>
          <w:szCs w:val="22"/>
        </w:rPr>
        <w:t xml:space="preserve">Fonction : </w:t>
      </w:r>
      <w:r>
        <w:rPr>
          <w:sz w:val="22"/>
          <w:szCs w:val="22"/>
        </w:rPr>
        <w:t xml:space="preserve">Chef de Projet Informatique / Fullstack Software Engineer — </w:t>
      </w:r>
      <w:r>
        <w:rPr>
          <w:rFonts w:hint="default"/>
          <w:sz w:val="22"/>
          <w:szCs w:val="22"/>
          <w:lang w:val="en-US"/>
        </w:rPr>
        <w:t>Zoe expertise Consulting</w:t>
      </w:r>
    </w:p>
    <w:p w14:paraId="7BCA3E71">
      <w:pPr>
        <w:spacing w:after="80"/>
      </w:pPr>
      <w:r>
        <w:rPr>
          <w:b/>
          <w:bCs/>
          <w:sz w:val="22"/>
          <w:szCs w:val="22"/>
        </w:rPr>
        <w:t xml:space="preserve">Localisation : </w:t>
      </w:r>
      <w:r>
        <w:rPr>
          <w:sz w:val="22"/>
          <w:szCs w:val="22"/>
        </w:rPr>
        <w:t>Ouagadougou, Burkina Faso</w:t>
      </w:r>
    </w:p>
    <w:p w14:paraId="5B6F53C7">
      <w:pPr>
        <w:spacing w:after="120" w:line="300" w:lineRule="auto"/>
      </w:pPr>
      <w:r>
        <w:rPr>
          <w:sz w:val="22"/>
          <w:szCs w:val="22"/>
        </w:rPr>
        <w:t>Profil : pilotage de projets numériques pour des structures publiques et privées, avec une expérience directe dans la conception de systèmes de contrôle, de gestion et de digitalisation de processus administratifs et économiques.</w:t>
      </w:r>
    </w:p>
    <w:p w14:paraId="56FFEE37">
      <w:pPr>
        <w:spacing w:after="120" w:line="300" w:lineRule="auto"/>
        <w:rPr>
          <w:rFonts w:hint="default"/>
          <w:lang w:val="en-US"/>
        </w:rPr>
      </w:pPr>
      <w:r>
        <w:rPr>
          <w:i/>
          <w:iCs/>
          <w:color w:val="595959"/>
          <w:sz w:val="22"/>
          <w:szCs w:val="22"/>
        </w:rPr>
        <w:t xml:space="preserve">Équipe : </w:t>
      </w:r>
      <w:r>
        <w:rPr>
          <w:rFonts w:hint="default"/>
          <w:i/>
          <w:iCs/>
          <w:color w:val="595959"/>
          <w:sz w:val="22"/>
          <w:szCs w:val="22"/>
          <w:lang w:val="en-US"/>
        </w:rPr>
        <w:t>Sawadogo Ismael , Zele Dominique</w:t>
      </w:r>
    </w:p>
    <w:p w14:paraId="27A5AFF2">
      <w:pPr>
        <w:pStyle w:val="2"/>
        <w:pBdr>
          <w:bottom w:val="single" w:color="1F4E79" w:sz="6" w:space="4"/>
        </w:pBdr>
        <w:spacing w:before="320" w:after="140"/>
      </w:pPr>
      <w:r>
        <w:rPr>
          <w:b/>
          <w:bCs/>
          <w:color w:val="1F4E79"/>
          <w:sz w:val="26"/>
          <w:szCs w:val="26"/>
        </w:rPr>
        <w:t>2. Contexte et problématique</w:t>
      </w:r>
    </w:p>
    <w:p w14:paraId="7CD0BC7D">
      <w:pPr>
        <w:spacing w:after="120" w:line="300" w:lineRule="auto"/>
      </w:pPr>
      <w:r>
        <w:rPr>
          <w:sz w:val="22"/>
          <w:szCs w:val="22"/>
        </w:rPr>
        <w:t>Dans l'espace AES (Burkina Faso, Mali, Niger), l'essentiel du carburant transite par de longs corridors d'approvisionnement transfrontaliers. Cette chaîne logistique reste vulnérable à plusieurs formes de fraude :</w:t>
      </w:r>
    </w:p>
    <w:p w14:paraId="3A3F8CF9">
      <w:pPr>
        <w:pStyle w:val="16"/>
        <w:numPr>
          <w:ilvl w:val="0"/>
          <w:numId w:val="1"/>
        </w:numPr>
        <w:spacing w:after="80" w:line="280" w:lineRule="auto"/>
      </w:pPr>
      <w:r>
        <w:rPr>
          <w:sz w:val="22"/>
          <w:szCs w:val="22"/>
        </w:rPr>
        <w:t>Détournement d'itinéraire et vente parallèle en cours de transport ;</w:t>
      </w:r>
    </w:p>
    <w:p w14:paraId="25054D8F">
      <w:pPr>
        <w:pStyle w:val="16"/>
        <w:numPr>
          <w:ilvl w:val="0"/>
          <w:numId w:val="1"/>
        </w:numPr>
        <w:spacing w:after="80" w:line="280" w:lineRule="auto"/>
      </w:pPr>
      <w:r>
        <w:rPr>
          <w:sz w:val="22"/>
          <w:szCs w:val="22"/>
        </w:rPr>
        <w:t>Dilution ou altération du produit entre le dépôt et le point de livraison ;</w:t>
      </w:r>
    </w:p>
    <w:p w14:paraId="394B5FA3">
      <w:pPr>
        <w:pStyle w:val="16"/>
        <w:numPr>
          <w:ilvl w:val="0"/>
          <w:numId w:val="1"/>
        </w:numPr>
        <w:spacing w:after="80" w:line="280" w:lineRule="auto"/>
      </w:pPr>
      <w:r>
        <w:rPr>
          <w:sz w:val="22"/>
          <w:szCs w:val="22"/>
        </w:rPr>
        <w:t>Contrebande et commercialisation informelle transfrontalière ;</w:t>
      </w:r>
    </w:p>
    <w:p w14:paraId="0BE4FFAC">
      <w:pPr>
        <w:pStyle w:val="16"/>
        <w:numPr>
          <w:ilvl w:val="0"/>
          <w:numId w:val="1"/>
        </w:numPr>
        <w:spacing w:after="80" w:line="280" w:lineRule="auto"/>
      </w:pPr>
      <w:r>
        <w:rPr>
          <w:sz w:val="22"/>
          <w:szCs w:val="22"/>
        </w:rPr>
        <w:t>Écarts de volume difficiles à détecter avec des contrôles manuels ponctuels.</w:t>
      </w:r>
    </w:p>
    <w:p w14:paraId="25DFB9F4">
      <w:pPr>
        <w:spacing w:after="120" w:line="300" w:lineRule="auto"/>
      </w:pPr>
      <w:r>
        <w:rPr>
          <w:sz w:val="22"/>
          <w:szCs w:val="22"/>
        </w:rPr>
        <w:t>Ces pertes fragilisent les recettes publiques, faussent la régulation du marché et exposent les États AES à une dépendance accrue vis-à-vis de circuits non maîtrisés — un enjeu direct de souveraineté énergétique.</w:t>
      </w:r>
    </w:p>
    <w:p w14:paraId="28CAB762">
      <w:pPr>
        <w:pStyle w:val="2"/>
        <w:pBdr>
          <w:bottom w:val="single" w:color="1F4E79" w:sz="6" w:space="4"/>
        </w:pBdr>
        <w:spacing w:before="320" w:after="140"/>
      </w:pPr>
      <w:r>
        <w:rPr>
          <w:b/>
          <w:bCs/>
          <w:color w:val="1F4E79"/>
          <w:sz w:val="26"/>
          <w:szCs w:val="26"/>
        </w:rPr>
        <w:t>3. Description de la solution</w:t>
      </w:r>
    </w:p>
    <w:p w14:paraId="410116A7">
      <w:pPr>
        <w:spacing w:after="120" w:line="300" w:lineRule="auto"/>
      </w:pPr>
      <w:r>
        <w:rPr>
          <w:sz w:val="22"/>
          <w:szCs w:val="22"/>
        </w:rPr>
        <w:t>TRACE-AES est une plateforme numérique de « chaîne de garde » qui scelle et suit chaque citerne depuis le chargement au dépôt jusqu'à la livraison finale :</w:t>
      </w:r>
    </w:p>
    <w:p w14:paraId="4FE00A9E">
      <w:pPr>
        <w:pStyle w:val="16"/>
        <w:numPr>
          <w:ilvl w:val="0"/>
          <w:numId w:val="1"/>
        </w:numPr>
        <w:spacing w:after="80" w:line="280" w:lineRule="auto"/>
      </w:pPr>
      <w:r>
        <w:rPr>
          <w:sz w:val="22"/>
          <w:szCs w:val="22"/>
        </w:rPr>
        <w:t>Scellé numérique (QR code / NFC) apposé sur la citerne au chargement, associé au volume et à la destination déclarés ;</w:t>
      </w:r>
    </w:p>
    <w:p w14:paraId="184B8A4F">
      <w:pPr>
        <w:pStyle w:val="16"/>
        <w:numPr>
          <w:ilvl w:val="0"/>
          <w:numId w:val="1"/>
        </w:numPr>
        <w:spacing w:after="80" w:line="280" w:lineRule="auto"/>
      </w:pPr>
      <w:r>
        <w:rPr>
          <w:sz w:val="22"/>
          <w:szCs w:val="22"/>
        </w:rPr>
        <w:t>Application mobile pour les agents de dépôt et les chauffeurs, fonctionnant en mode offline-first ;</w:t>
      </w:r>
    </w:p>
    <w:p w14:paraId="3DF0D786">
      <w:pPr>
        <w:pStyle w:val="16"/>
        <w:numPr>
          <w:ilvl w:val="0"/>
          <w:numId w:val="1"/>
        </w:numPr>
        <w:spacing w:after="80" w:line="280" w:lineRule="auto"/>
      </w:pPr>
      <w:r>
        <w:rPr>
          <w:sz w:val="22"/>
          <w:szCs w:val="22"/>
        </w:rPr>
        <w:t>Suivi géospatial du trajet réel via géolocalisation, comparé à l'itinéraire déclaré (PostGIS) ;</w:t>
      </w:r>
    </w:p>
    <w:p w14:paraId="56A102FA">
      <w:pPr>
        <w:pStyle w:val="16"/>
        <w:numPr>
          <w:ilvl w:val="0"/>
          <w:numId w:val="1"/>
        </w:numPr>
        <w:spacing w:after="80" w:line="280" w:lineRule="auto"/>
      </w:pPr>
      <w:r>
        <w:rPr>
          <w:sz w:val="22"/>
          <w:szCs w:val="22"/>
        </w:rPr>
        <w:t>Vérification du scellé et du volume à l'arrivée, avec réconciliation automatique ;</w:t>
      </w:r>
    </w:p>
    <w:p w14:paraId="754AB752">
      <w:pPr>
        <w:pStyle w:val="16"/>
        <w:numPr>
          <w:ilvl w:val="0"/>
          <w:numId w:val="1"/>
        </w:numPr>
        <w:spacing w:after="80" w:line="280" w:lineRule="auto"/>
      </w:pPr>
      <w:r>
        <w:rPr>
          <w:sz w:val="22"/>
          <w:szCs w:val="22"/>
        </w:rPr>
        <w:t>Moteur de règles générant des alertes en temps réel : déviation de trajet, écart de volume, rupture de scellé non justifiée, retard anormal ;</w:t>
      </w:r>
    </w:p>
    <w:p w14:paraId="4E8A4AE0">
      <w:pPr>
        <w:pStyle w:val="16"/>
        <w:numPr>
          <w:ilvl w:val="0"/>
          <w:numId w:val="1"/>
        </w:numPr>
        <w:spacing w:after="80" w:line="280" w:lineRule="auto"/>
      </w:pPr>
      <w:r>
        <w:rPr>
          <w:sz w:val="22"/>
          <w:szCs w:val="22"/>
        </w:rPr>
        <w:t>Tableau de bord cartographique pour les brigades de contrôle économique et les régulateurs du secteur.</w:t>
      </w:r>
    </w:p>
    <w:p w14:paraId="0A582272">
      <w:pPr>
        <w:pStyle w:val="2"/>
        <w:pBdr>
          <w:bottom w:val="single" w:color="1F4E79" w:sz="6" w:space="4"/>
        </w:pBdr>
        <w:spacing w:before="320" w:after="140"/>
      </w:pPr>
      <w:r>
        <w:rPr>
          <w:b/>
          <w:bCs/>
          <w:color w:val="1F4E79"/>
          <w:sz w:val="26"/>
          <w:szCs w:val="26"/>
        </w:rPr>
        <w:t>4. Caractère innovant et originalité</w:t>
      </w:r>
    </w:p>
    <w:p w14:paraId="26534589">
      <w:pPr>
        <w:spacing w:after="120" w:line="300" w:lineRule="auto"/>
      </w:pPr>
      <w:r>
        <w:rPr>
          <w:sz w:val="22"/>
          <w:szCs w:val="22"/>
        </w:rPr>
        <w:t>Les contrôles actuels dans la sous-région reposent majoritairement sur des vérifications manuelles et ponctuelles, réalisées a posteriori. TRACE-AES introduit :</w:t>
      </w:r>
    </w:p>
    <w:p w14:paraId="16B729AE">
      <w:pPr>
        <w:pStyle w:val="16"/>
        <w:numPr>
          <w:ilvl w:val="0"/>
          <w:numId w:val="1"/>
        </w:numPr>
        <w:spacing w:after="80" w:line="280" w:lineRule="auto"/>
      </w:pPr>
      <w:r>
        <w:rPr>
          <w:sz w:val="22"/>
          <w:szCs w:val="22"/>
        </w:rPr>
        <w:t>Une approche de « chaîne de garde » continue (scellé + géolocalisation + réconciliation automatique), inédite pour le carburant dans l'espace AES ;</w:t>
      </w:r>
    </w:p>
    <w:p w14:paraId="64C4ABCE">
      <w:pPr>
        <w:pStyle w:val="16"/>
        <w:numPr>
          <w:ilvl w:val="0"/>
          <w:numId w:val="1"/>
        </w:numPr>
        <w:spacing w:after="80" w:line="280" w:lineRule="auto"/>
      </w:pPr>
      <w:r>
        <w:rPr>
          <w:sz w:val="22"/>
          <w:szCs w:val="22"/>
        </w:rPr>
        <w:t>Une architecture offline-first adaptée à la connectivité intermittente des corridors ruraux et transfrontaliers ;</w:t>
      </w:r>
    </w:p>
    <w:p w14:paraId="43E4B74A">
      <w:pPr>
        <w:pStyle w:val="16"/>
        <w:numPr>
          <w:ilvl w:val="0"/>
          <w:numId w:val="1"/>
        </w:numPr>
        <w:spacing w:after="80" w:line="280" w:lineRule="auto"/>
      </w:pPr>
      <w:r>
        <w:rPr>
          <w:sz w:val="22"/>
          <w:szCs w:val="22"/>
        </w:rPr>
        <w:t>Une détection proactive des anomalies, plutôt qu'un contrôle a posteriori.</w:t>
      </w:r>
    </w:p>
    <w:p w14:paraId="454B17F8">
      <w:pPr>
        <w:pStyle w:val="2"/>
        <w:pBdr>
          <w:bottom w:val="single" w:color="1F4E79" w:sz="6" w:space="4"/>
        </w:pBdr>
        <w:spacing w:before="320" w:after="140"/>
      </w:pPr>
      <w:r>
        <w:rPr>
          <w:b/>
          <w:bCs/>
          <w:color w:val="1F4E79"/>
          <w:sz w:val="26"/>
          <w:szCs w:val="26"/>
        </w:rPr>
        <w:t>5. Pertinence par rapport aux enjeux du secteur</w:t>
      </w:r>
    </w:p>
    <w:p w14:paraId="62440560">
      <w:pPr>
        <w:spacing w:after="120" w:line="300" w:lineRule="auto"/>
      </w:pPr>
      <w:r>
        <w:rPr>
          <w:sz w:val="22"/>
          <w:szCs w:val="22"/>
        </w:rPr>
        <w:t>Le projet répond directement à trois axes prioritaires du concours :</w:t>
      </w:r>
    </w:p>
    <w:p w14:paraId="0A8C21A8">
      <w:pPr>
        <w:pStyle w:val="16"/>
        <w:numPr>
          <w:ilvl w:val="0"/>
          <w:numId w:val="1"/>
        </w:numPr>
        <w:spacing w:after="80" w:line="280" w:lineRule="auto"/>
      </w:pPr>
      <w:r>
        <w:rPr>
          <w:sz w:val="22"/>
          <w:szCs w:val="22"/>
        </w:rPr>
        <w:t>Solutions de contrôle, de traçabilité et de lutte contre les pertes et la fraude ;</w:t>
      </w:r>
    </w:p>
    <w:p w14:paraId="44C24511">
      <w:pPr>
        <w:pStyle w:val="16"/>
        <w:numPr>
          <w:ilvl w:val="0"/>
          <w:numId w:val="1"/>
        </w:numPr>
        <w:spacing w:after="80" w:line="280" w:lineRule="auto"/>
      </w:pPr>
      <w:r>
        <w:rPr>
          <w:sz w:val="22"/>
          <w:szCs w:val="22"/>
        </w:rPr>
        <w:t>Solutions favorisant la souveraineté et la sécurité énergétiques dans l'espace AES ;</w:t>
      </w:r>
    </w:p>
    <w:p w14:paraId="72BE5FBB">
      <w:pPr>
        <w:pStyle w:val="16"/>
        <w:numPr>
          <w:ilvl w:val="0"/>
          <w:numId w:val="1"/>
        </w:numPr>
        <w:spacing w:after="80" w:line="280" w:lineRule="auto"/>
      </w:pPr>
      <w:r>
        <w:rPr>
          <w:sz w:val="22"/>
          <w:szCs w:val="22"/>
        </w:rPr>
        <w:t>Digitalisation et suivi intelligent des infrastructures pétrolières et gazières.</w:t>
      </w:r>
    </w:p>
    <w:p w14:paraId="21E19183">
      <w:pPr>
        <w:pStyle w:val="2"/>
        <w:pBdr>
          <w:bottom w:val="single" w:color="1F4E79" w:sz="6" w:space="4"/>
        </w:pBdr>
        <w:spacing w:before="320" w:after="140"/>
      </w:pPr>
      <w:r>
        <w:rPr>
          <w:b/>
          <w:bCs/>
          <w:color w:val="1F4E79"/>
          <w:sz w:val="26"/>
          <w:szCs w:val="26"/>
        </w:rPr>
        <w:t>6. Faisabilité technique et niveau de maturité</w:t>
      </w:r>
    </w:p>
    <w:p w14:paraId="48106E28">
      <w:pPr>
        <w:spacing w:after="80"/>
      </w:pPr>
      <w:r>
        <w:rPr>
          <w:b/>
          <w:bCs/>
          <w:sz w:val="22"/>
          <w:szCs w:val="22"/>
        </w:rPr>
        <w:t xml:space="preserve">Stade actuel : </w:t>
      </w:r>
      <w:r>
        <w:rPr>
          <w:sz w:val="22"/>
          <w:szCs w:val="22"/>
        </w:rPr>
        <w:t>concept formulé, spécifications fonctionnelles en cours de rédaction</w:t>
      </w:r>
    </w:p>
    <w:p w14:paraId="48E6D336">
      <w:pPr>
        <w:spacing w:after="80"/>
      </w:pPr>
      <w:r>
        <w:rPr>
          <w:b/>
          <w:bCs/>
          <w:sz w:val="22"/>
          <w:szCs w:val="22"/>
        </w:rPr>
        <w:t xml:space="preserve">Stack technique envisagée : </w:t>
      </w:r>
      <w:r>
        <w:rPr>
          <w:sz w:val="22"/>
          <w:szCs w:val="22"/>
        </w:rPr>
        <w:t>Zend Framework 3 / PHP (backend et tableau de bord de contrôle), PostgreSQL/PostGIS (suivi géospatial), Ionic React (application agents/chauffeurs)</w:t>
      </w:r>
    </w:p>
    <w:p w14:paraId="761D9808">
      <w:pPr>
        <w:spacing w:after="80"/>
      </w:pPr>
      <w:r>
        <w:rPr>
          <w:b/>
          <w:bCs/>
          <w:sz w:val="22"/>
          <w:szCs w:val="22"/>
        </w:rPr>
        <w:t xml:space="preserve">Niveau de maturité (TRL) : </w:t>
      </w:r>
      <w:r>
        <w:rPr>
          <w:sz w:val="22"/>
          <w:szCs w:val="22"/>
        </w:rPr>
        <w:t>TRL 2-3 aujourd'hui, objectif TRL 4-5 (prototype testé en environnement contrôlé) sous 3 à 6 mois</w:t>
      </w:r>
    </w:p>
    <w:p w14:paraId="6B4640ED">
      <w:pPr>
        <w:spacing w:after="120" w:line="300" w:lineRule="auto"/>
      </w:pPr>
      <w:r>
        <w:rPr>
          <w:sz w:val="22"/>
          <w:szCs w:val="22"/>
        </w:rPr>
        <w:t>Prochaine étape technique : développement d'un prototype sur un corridor pilote avec un nombre limité de citernes équipées.</w:t>
      </w:r>
    </w:p>
    <w:p w14:paraId="1C5D9D0F">
      <w:pPr>
        <w:pStyle w:val="2"/>
        <w:pBdr>
          <w:bottom w:val="single" w:color="1F4E79" w:sz="6" w:space="4"/>
        </w:pBdr>
        <w:spacing w:before="320" w:after="140"/>
      </w:pPr>
      <w:r>
        <w:rPr>
          <w:b/>
          <w:bCs/>
          <w:color w:val="1F4E79"/>
          <w:sz w:val="26"/>
          <w:szCs w:val="26"/>
        </w:rPr>
        <w:t>7. Modèle économique et viabilité</w:t>
      </w:r>
    </w:p>
    <w:p w14:paraId="1E6DE119">
      <w:pPr>
        <w:spacing w:after="80"/>
      </w:pPr>
      <w:r>
        <w:rPr>
          <w:b/>
          <w:bCs/>
          <w:sz w:val="22"/>
          <w:szCs w:val="22"/>
        </w:rPr>
        <w:t xml:space="preserve">Bénéficiaires / clients : </w:t>
      </w:r>
      <w:r>
        <w:rPr>
          <w:sz w:val="22"/>
          <w:szCs w:val="22"/>
        </w:rPr>
        <w:t>sociétés de distribution pétrolière, brigades de contrôle économique, régulateurs et États de l'espace AES</w:t>
      </w:r>
    </w:p>
    <w:p w14:paraId="126C7884">
      <w:pPr>
        <w:spacing w:after="80"/>
      </w:pPr>
      <w:r>
        <w:rPr>
          <w:b/>
          <w:bCs/>
          <w:sz w:val="22"/>
          <w:szCs w:val="22"/>
        </w:rPr>
        <w:t xml:space="preserve">Modèle de revenus envisagé : </w:t>
      </w:r>
      <w:r>
        <w:rPr>
          <w:sz w:val="22"/>
          <w:szCs w:val="22"/>
        </w:rPr>
        <w:t>abonnement SaaS par entité de contrôle ou par volume de citernes suivies ; financement institutionnel pour le déploiement à l'échelle régionale</w:t>
      </w:r>
    </w:p>
    <w:p w14:paraId="12A0EEEC">
      <w:pPr>
        <w:spacing w:after="80"/>
      </w:pPr>
      <w:r>
        <w:rPr>
          <w:b/>
          <w:bCs/>
          <w:sz w:val="22"/>
          <w:szCs w:val="22"/>
        </w:rPr>
        <w:t xml:space="preserve">Coûts principaux : </w:t>
      </w:r>
      <w:r>
        <w:rPr>
          <w:sz w:val="22"/>
          <w:szCs w:val="22"/>
        </w:rPr>
        <w:t>scellés numériques, hébergement, développement, formation des agents de terrain</w:t>
      </w:r>
    </w:p>
    <w:p w14:paraId="14A0F9AA">
      <w:pPr>
        <w:pStyle w:val="2"/>
        <w:pBdr>
          <w:bottom w:val="single" w:color="1F4E79" w:sz="6" w:space="4"/>
        </w:pBdr>
        <w:spacing w:before="320" w:after="140"/>
      </w:pPr>
      <w:r>
        <w:rPr>
          <w:b/>
          <w:bCs/>
          <w:color w:val="1F4E79"/>
          <w:sz w:val="26"/>
          <w:szCs w:val="26"/>
        </w:rPr>
        <w:t>8. Impact attendu</w:t>
      </w:r>
    </w:p>
    <w:p w14:paraId="49C84EFA">
      <w:pPr>
        <w:pStyle w:val="3"/>
        <w:spacing w:before="200" w:after="100"/>
      </w:pPr>
      <w:r>
        <w:rPr>
          <w:b/>
          <w:bCs/>
          <w:color w:val="C00000"/>
          <w:sz w:val="22"/>
          <w:szCs w:val="22"/>
        </w:rPr>
        <w:t>Souveraineté et sécurité énergétiques</w:t>
      </w:r>
    </w:p>
    <w:p w14:paraId="59A39A6F">
      <w:pPr>
        <w:spacing w:after="120" w:line="300" w:lineRule="auto"/>
      </w:pPr>
      <w:r>
        <w:rPr>
          <w:sz w:val="22"/>
          <w:szCs w:val="22"/>
        </w:rPr>
        <w:t>Réduction de la fraude et de la contrebande transfrontalière, meilleure maîtrise par les États AES des flux réels de carburant sur leur territoire.</w:t>
      </w:r>
    </w:p>
    <w:p w14:paraId="30BD2120">
      <w:pPr>
        <w:pStyle w:val="3"/>
        <w:spacing w:before="200" w:after="100"/>
      </w:pPr>
      <w:r>
        <w:rPr>
          <w:b/>
          <w:bCs/>
          <w:color w:val="C00000"/>
          <w:sz w:val="22"/>
          <w:szCs w:val="22"/>
        </w:rPr>
        <w:t>Impact économique et social</w:t>
      </w:r>
    </w:p>
    <w:p w14:paraId="4E48254E">
      <w:pPr>
        <w:spacing w:after="120" w:line="300" w:lineRule="auto"/>
      </w:pPr>
      <w:r>
        <w:rPr>
          <w:sz w:val="22"/>
          <w:szCs w:val="22"/>
        </w:rPr>
        <w:t>Réduction des pertes fiscales liées à la fraude, renforcement de la confiance dans la chaîne d'approvisionnement, réduction des ruptures liées aux détournements.</w:t>
      </w:r>
    </w:p>
    <w:p w14:paraId="78006B9D">
      <w:pPr>
        <w:pStyle w:val="3"/>
        <w:spacing w:before="200" w:after="100"/>
      </w:pPr>
      <w:r>
        <w:rPr>
          <w:b/>
          <w:bCs/>
          <w:color w:val="C00000"/>
          <w:sz w:val="22"/>
          <w:szCs w:val="22"/>
        </w:rPr>
        <w:t>Emploi et valeur ajoutée locale</w:t>
      </w:r>
    </w:p>
    <w:p w14:paraId="326D1DED">
      <w:pPr>
        <w:spacing w:after="120" w:line="300" w:lineRule="auto"/>
      </w:pPr>
      <w:r>
        <w:rPr>
          <w:sz w:val="22"/>
          <w:szCs w:val="22"/>
        </w:rPr>
        <w:t>Recrutement et formation d'agents de terrain, développement et hébergement de la solution assurés localement à Ouagadougou.</w:t>
      </w:r>
    </w:p>
    <w:p w14:paraId="6CF9DE1B">
      <w:pPr>
        <w:pStyle w:val="2"/>
        <w:pBdr>
          <w:bottom w:val="single" w:color="1F4E79" w:sz="6" w:space="4"/>
        </w:pBdr>
        <w:spacing w:before="320" w:after="140"/>
      </w:pPr>
      <w:r>
        <w:rPr>
          <w:b/>
          <w:bCs/>
          <w:color w:val="1F4E79"/>
          <w:sz w:val="26"/>
          <w:szCs w:val="26"/>
        </w:rPr>
        <w:t>9. Potentiel de réplication et de déploiement à grande échelle</w:t>
      </w:r>
    </w:p>
    <w:p w14:paraId="54C2A45C">
      <w:pPr>
        <w:spacing w:after="120" w:line="300" w:lineRule="auto"/>
      </w:pPr>
      <w:r>
        <w:rPr>
          <w:sz w:val="22"/>
          <w:szCs w:val="22"/>
        </w:rPr>
        <w:t>Conçu pour un déploiement progressif pays par pays dans l'espace AES (Burkina Faso, Mali, Niger), sans dépendance à une chaîne d'approvisionnement extérieure. L'approche « scellé + traçabilité + réconciliation automatique » est également transposable à d'autres produits sensibles (gaz, produits miniers).</w:t>
      </w:r>
    </w:p>
    <w:p w14:paraId="785BBA6A">
      <w:pPr>
        <w:pStyle w:val="2"/>
        <w:pBdr>
          <w:bottom w:val="single" w:color="1F4E79" w:sz="6" w:space="4"/>
        </w:pBdr>
        <w:spacing w:before="320" w:after="140"/>
      </w:pPr>
      <w:r>
        <w:rPr>
          <w:b/>
          <w:bCs/>
          <w:color w:val="1F4E79"/>
          <w:sz w:val="26"/>
          <w:szCs w:val="26"/>
        </w:rPr>
        <w:t>10. Feuille de route</w:t>
      </w:r>
    </w:p>
    <w:p w14:paraId="1996A3F7">
      <w:pPr>
        <w:pStyle w:val="16"/>
        <w:numPr>
          <w:ilvl w:val="0"/>
          <w:numId w:val="1"/>
        </w:numPr>
        <w:spacing w:after="80" w:line="280" w:lineRule="auto"/>
      </w:pPr>
      <w:r>
        <w:rPr>
          <w:sz w:val="22"/>
          <w:szCs w:val="22"/>
        </w:rPr>
        <w:t>Septembre 2026 — Finalisation du dossier de candidature et préparation de la présentation devant le jury (10 septembre) ;</w:t>
      </w:r>
    </w:p>
    <w:p w14:paraId="41710F07">
      <w:pPr>
        <w:pStyle w:val="16"/>
        <w:numPr>
          <w:ilvl w:val="0"/>
          <w:numId w:val="1"/>
        </w:numPr>
        <w:spacing w:after="80" w:line="280" w:lineRule="auto"/>
      </w:pPr>
      <w:r>
        <w:rPr>
          <w:sz w:val="22"/>
          <w:szCs w:val="22"/>
        </w:rPr>
        <w:t>4ᵉ trimestre 2026 — Spécifications techniques détaillées et maquettes fonctionnelles ;</w:t>
      </w:r>
    </w:p>
    <w:p w14:paraId="09676B2C">
      <w:pPr>
        <w:pStyle w:val="16"/>
        <w:numPr>
          <w:ilvl w:val="0"/>
          <w:numId w:val="1"/>
        </w:numPr>
        <w:spacing w:after="80" w:line="280" w:lineRule="auto"/>
      </w:pPr>
      <w:r>
        <w:rPr>
          <w:sz w:val="22"/>
          <w:szCs w:val="22"/>
        </w:rPr>
        <w:t>1ᵉʳ trimestre 2027 — Développement du prototype sur un corridor pilote ;</w:t>
      </w:r>
    </w:p>
    <w:p w14:paraId="308D1E4F">
      <w:pPr>
        <w:pStyle w:val="16"/>
        <w:numPr>
          <w:ilvl w:val="0"/>
          <w:numId w:val="1"/>
        </w:numPr>
        <w:spacing w:after="80" w:line="280" w:lineRule="auto"/>
      </w:pPr>
      <w:r>
        <w:rPr>
          <w:sz w:val="22"/>
          <w:szCs w:val="22"/>
        </w:rPr>
        <w:t>2ᵉ trimestre 2027 — Test pilote avec un partenaire de distribution volontaire.</w:t>
      </w:r>
    </w:p>
    <w:p w14:paraId="0BB57275">
      <w:pPr>
        <w:pStyle w:val="2"/>
        <w:pBdr>
          <w:bottom w:val="single" w:color="1F4E79" w:sz="6" w:space="4"/>
        </w:pBdr>
        <w:spacing w:before="320" w:after="140"/>
      </w:pPr>
      <w:r>
        <w:rPr>
          <w:b/>
          <w:bCs/>
          <w:color w:val="1F4E79"/>
          <w:sz w:val="26"/>
          <w:szCs w:val="26"/>
        </w:rPr>
        <w:t>11. Besoins d'accompagnement</w:t>
      </w:r>
    </w:p>
    <w:p w14:paraId="3F602370">
      <w:pPr>
        <w:pStyle w:val="16"/>
        <w:numPr>
          <w:ilvl w:val="0"/>
          <w:numId w:val="1"/>
        </w:numPr>
        <w:spacing w:after="80" w:line="280" w:lineRule="auto"/>
      </w:pPr>
      <w:r>
        <w:rPr>
          <w:sz w:val="22"/>
          <w:szCs w:val="22"/>
        </w:rPr>
        <w:t>Mise en relation avec des sociétés de distribution pétrolière et des brigades de contrôle économique ;</w:t>
      </w:r>
    </w:p>
    <w:p w14:paraId="091A729D">
      <w:pPr>
        <w:pStyle w:val="16"/>
        <w:numPr>
          <w:ilvl w:val="0"/>
          <w:numId w:val="1"/>
        </w:numPr>
        <w:spacing w:after="80" w:line="280" w:lineRule="auto"/>
      </w:pPr>
      <w:r>
        <w:rPr>
          <w:sz w:val="22"/>
          <w:szCs w:val="22"/>
        </w:rPr>
        <w:t>Mise en réseau avec des partenaires financiers et institutionnels de l'espace AES ;</w:t>
      </w:r>
    </w:p>
    <w:p w14:paraId="480E7293">
      <w:pPr>
        <w:pStyle w:val="16"/>
        <w:numPr>
          <w:ilvl w:val="0"/>
          <w:numId w:val="1"/>
        </w:numPr>
        <w:spacing w:after="80" w:line="280" w:lineRule="auto"/>
      </w:pPr>
      <w:r>
        <w:rPr>
          <w:sz w:val="22"/>
          <w:szCs w:val="22"/>
        </w:rPr>
        <w:t>Visibilité auprès des décideurs du secteur énergie et hydrocarbures.</w:t>
      </w:r>
    </w:p>
    <w:p w14:paraId="09886374">
      <w:pPr>
        <w:pStyle w:val="2"/>
        <w:pBdr>
          <w:bottom w:val="single" w:color="1F4E79" w:sz="6" w:space="4"/>
        </w:pBdr>
        <w:spacing w:before="320" w:after="140"/>
      </w:pPr>
      <w:r>
        <w:rPr>
          <w:b/>
          <w:bCs/>
          <w:color w:val="1F4E79"/>
          <w:sz w:val="26"/>
          <w:szCs w:val="26"/>
        </w:rPr>
        <w:t>Contact</w:t>
      </w:r>
    </w:p>
    <w:p w14:paraId="6FFE2AB5">
      <w:pPr>
        <w:spacing w:after="80"/>
        <w:rPr>
          <w:rFonts w:hint="default"/>
          <w:lang w:val="en-US"/>
        </w:rPr>
      </w:pPr>
      <w:r>
        <w:rPr>
          <w:b/>
          <w:bCs/>
          <w:sz w:val="22"/>
          <w:szCs w:val="22"/>
        </w:rPr>
        <w:t xml:space="preserve">Porteur du projet : </w:t>
      </w:r>
      <w:r>
        <w:rPr>
          <w:rFonts w:hint="default"/>
          <w:b/>
          <w:bCs/>
          <w:sz w:val="22"/>
          <w:szCs w:val="22"/>
          <w:lang w:val="en-US"/>
        </w:rPr>
        <w:t xml:space="preserve">Ouattara Sie Abdoul Rachid </w:t>
      </w:r>
    </w:p>
    <w:p w14:paraId="0B54EFCF">
      <w:pPr>
        <w:spacing w:after="80"/>
        <w:rPr>
          <w:rFonts w:hint="default"/>
          <w:lang w:val="en-US"/>
        </w:rPr>
      </w:pPr>
      <w:r>
        <w:rPr>
          <w:b/>
          <w:bCs/>
          <w:sz w:val="22"/>
          <w:szCs w:val="22"/>
        </w:rPr>
        <w:t xml:space="preserve">Téléphone / Email : </w:t>
      </w:r>
      <w:r>
        <w:rPr>
          <w:rFonts w:hint="default"/>
          <w:b/>
          <w:bCs/>
          <w:sz w:val="22"/>
          <w:szCs w:val="22"/>
          <w:lang w:val="en-US"/>
        </w:rPr>
        <w:t xml:space="preserve">+22655531985 / </w:t>
      </w:r>
      <w:bookmarkStart w:id="0" w:name="_GoBack"/>
      <w:bookmarkEnd w:id="0"/>
      <w:r>
        <w:rPr>
          <w:rFonts w:hint="default"/>
          <w:b/>
          <w:bCs/>
          <w:sz w:val="22"/>
          <w:szCs w:val="22"/>
          <w:lang w:val="en-US"/>
        </w:rPr>
        <w:t>abdoulhymanni.23@gmail.com</w:t>
      </w:r>
    </w:p>
    <w:p w14:paraId="784F7D83">
      <w:pPr>
        <w:spacing w:after="80"/>
      </w:pPr>
      <w:r>
        <w:rPr>
          <w:b/>
          <w:bCs/>
          <w:sz w:val="22"/>
          <w:szCs w:val="22"/>
        </w:rPr>
        <w:t xml:space="preserve">Localisation : </w:t>
      </w:r>
      <w:r>
        <w:rPr>
          <w:sz w:val="22"/>
          <w:szCs w:val="22"/>
        </w:rPr>
        <w:t>Ouagadougou, Burkina Faso</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809E"/>
    <w:multiLevelType w:val="singleLevel"/>
    <w:tmpl w:val="03D6809E"/>
    <w:lvl w:ilvl="0" w:tentative="0">
      <w:start w:val="1"/>
      <w:numFmt w:val="bullet"/>
      <w:lvlText w:val="•"/>
      <w:lvlJc w:val="left"/>
      <w:pPr>
        <w:ind w:left="431"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documentProtection w:enforcement="0"/>
  <w:compat>
    <w:compatSetting w:name="compatibilityMode" w:uri="http://schemas.microsoft.com/office/word" w:val="15"/>
  </w:compat>
  <w:rsids>
    <w:rsidRoot w:val="00000000"/>
    <w:rsid w:val="1F7EA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28</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changeme</cp:lastModifiedBy>
  <dcterms:modified xsi:type="dcterms:W3CDTF">2026-08-28T22:32:39Z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5674E1A7C0B23BE7870C926A1A515627_42</vt:lpwstr>
  </property>
</Properties>
</file>