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C00000"/>
          <w:sz w:val="40"/>
          <w:szCs w:val="40"/>
        </w:rPr>
        <w:t xml:space="preserve">TRACE-AES</w:t>
      </w:r>
    </w:p>
    <w:p>
      <w:pPr>
        <w:spacing w:after="300"/>
        <w:jc w:val="center"/>
      </w:pPr>
      <w:r>
        <w:rPr>
          <w:color w:val="1F4E79"/>
          <w:sz w:val="24"/>
          <w:szCs w:val="24"/>
        </w:rPr>
        <w:t xml:space="preserve">Dossier technique — documents complémentaires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1. Vue d'ensemble architecturale</w:t>
      </w:r>
    </w:p>
    <w:p>
      <w:pPr>
        <w:spacing w:after="120" w:line="300"/>
      </w:pPr>
      <w:r>
        <w:rPr>
          <w:sz w:val="22"/>
          <w:szCs w:val="22"/>
        </w:rPr>
        <w:t>TRACE-AES repose sur deux composants principaux : une application mobile pour les agents de terrain (Ionic React, offline-first), et une application web unique portant à la fois le moteur de règles et le tableau de bord de contrôle (monolithe PHP en Zend Framework 3, adossé à PostgreSQL/PostGIS pour le suivi géospatial). Le détail visuel de cette architecture et du flux « chaîne de garde » figure dans les images illustratives jointes au dossier. La présente pièce détaille les éléments techniques qui les sous-tendent : modèle de données, règles de détection et choix technologiques.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2. Modèle conceptuel de données (MCD — méthode Merise)</w:t>
      </w:r>
    </w:p>
    <w:p>
      <w:pPr>
        <w:spacing w:after="120" w:line="300"/>
      </w:pPr>
      <w:r>
        <w:rPr>
          <w:sz w:val="22"/>
          <w:szCs w:val="22"/>
        </w:rPr>
        <w:t xml:space="preserve">Le modèle ci-dessous couvre le cycle complet d'une citerne suivie : chargement scellé au dépôt, trajet géolocalisé, vérification à l'arrivée, et déclenchement d'alertes en cas d'anomalie. Il constitue la base du schéma PostgreSQL/PostGIS à développer lors de la phase de prototypage.</w:t>
      </w:r>
    </w:p>
    <w:p>
      <w:pPr>
        <w:spacing w:after="120" w:before="120"/>
        <w:jc w:val="center"/>
      </w:pPr>
      <w:r>
        <w:drawing>
          <wp:inline distT="0" distB="0" distL="0" distR="0">
            <wp:extent cx="4381500" cy="757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80"/>
      </w:pPr>
      <w:r>
        <w:rPr>
          <w:i/>
          <w:iCs/>
          <w:color w:val="595959"/>
          <w:sz w:val="20"/>
          <w:szCs w:val="20"/>
        </w:rPr>
        <w:t xml:space="preserve">Notation Merise : rectangles = entités, ellipses = associations, couples (min,max) = cardinalités.</w:t>
      </w:r>
    </w:p>
    <w:p>
      <w:r>
        <w:br w:type="page"/>
      </w:r>
    </w:p>
    <w:p>
      <w:pPr>
        <w:spacing w:after="100" w:before="200"/>
      </w:pPr>
      <w:r>
        <w:rPr>
          <w:b/>
          <w:bCs/>
          <w:color w:val="C00000"/>
          <w:sz w:val="21"/>
          <w:szCs w:val="21"/>
        </w:rPr>
        <w:t xml:space="preserve">Dictionnaire des entités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6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 dans le système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CITERNE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Véhicule-citerne identifié, rattaché à une société de transport</w:t>
            </w:r>
          </w:p>
        </w:tc>
      </w:tr>
      <w:tr>
        <w:tc>
          <w:tcPr>
            <w:tcW w:type="dxa" w:w="32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DÉPÔT</w:t>
            </w:r>
          </w:p>
        </w:tc>
        <w:tc>
          <w:tcPr>
            <w:tcW w:type="dxa" w:w="615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Point de chargement d'origine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CHARGEMENT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Opération de chargement : volume et destination déclarés</w:t>
            </w:r>
          </w:p>
        </w:tc>
      </w:tr>
      <w:tr>
        <w:tc>
          <w:tcPr>
            <w:tcW w:type="dxa" w:w="32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SCELLÉ_NUMÉRIQUE</w:t>
            </w:r>
          </w:p>
        </w:tc>
        <w:tc>
          <w:tcPr>
            <w:tcW w:type="dxa" w:w="615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Scellé QR/NFC posé sur la citerne au chargement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TRAJET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Itinéraire déclaré et fenêtre horaire prévue</w:t>
            </w:r>
          </w:p>
        </w:tc>
      </w:tr>
      <w:tr>
        <w:tc>
          <w:tcPr>
            <w:tcW w:type="dxa" w:w="32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POSITION_GPS</w:t>
            </w:r>
          </w:p>
        </w:tc>
        <w:tc>
          <w:tcPr>
            <w:tcW w:type="dxa" w:w="615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Relevés de position horodatés pendant le trajet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VÉRIFICATION_ARRIVÉE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Contrôle du scellé et du volume à la livraison</w:t>
            </w:r>
          </w:p>
        </w:tc>
      </w:tr>
      <w:tr>
        <w:tc>
          <w:tcPr>
            <w:tcW w:type="dxa" w:w="32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POINT_CONTRÔLE</w:t>
            </w:r>
          </w:p>
        </w:tc>
        <w:tc>
          <w:tcPr>
            <w:tcW w:type="dxa" w:w="615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Lieu où s'effectue une vérification (dépôt, livraison, checkpoint)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ALERTE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Anomalie détectée automatiquement par le moteur de règles</w:t>
            </w:r>
          </w:p>
        </w:tc>
      </w:tr>
      <w:tr>
        <w:tc>
          <w:tcPr>
            <w:tcW w:type="dxa" w:w="32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615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Agent de dépôt, chauffeur ou agent de brigade de contrôle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3. Spécifications fonctionnelles — moteur d'alertes</w:t>
      </w:r>
    </w:p>
    <w:p>
      <w:pPr>
        <w:spacing w:after="120" w:line="300"/>
      </w:pPr>
      <w:r>
        <w:rPr>
          <w:sz w:val="22"/>
          <w:szCs w:val="22"/>
        </w:rPr>
        <w:t xml:space="preserve">Quatre familles d'anomalies sont détectées automatiquement en comparant les données déclarées (chargement, itinéraire) aux données observées (position GPS, vérification à l'arrivée) 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d'alerte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 de déclenchement</w:t>
            </w:r>
          </w:p>
        </w:tc>
        <w:tc>
          <w:tcPr>
            <w:tcW w:type="dxa" w:w="25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Seuil indicatif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Écart de volume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Volume mesuré à l'arrivée ≠ volume déclaré au chargement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&gt; 5 % d'écart</w:t>
            </w:r>
          </w:p>
        </w:tc>
      </w:tr>
      <w:tr>
        <w:tc>
          <w:tcPr>
            <w:tcW w:type="dxa" w:w="26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Déviation de trajet</w:t>
            </w:r>
          </w:p>
        </w:tc>
        <w:tc>
          <w:tcPr>
            <w:tcW w:type="dxa" w:w="42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Position GPS hors du corridor de l'itinéraire déclaré</w:t>
            </w:r>
          </w:p>
        </w:tc>
        <w:tc>
          <w:tcPr>
            <w:tcW w:type="dxa" w:w="255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&gt; 2 km pendant &gt; 10 min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Rupture de scellé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Changement d'état du scellé hors d'un point de contrôle reconnu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Tout événement</w:t>
            </w:r>
          </w:p>
        </w:tc>
      </w:tr>
      <w:tr>
        <w:tc>
          <w:tcPr>
            <w:tcW w:type="dxa" w:w="26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Retard anormal</w:t>
            </w:r>
          </w:p>
        </w:tc>
        <w:tc>
          <w:tcPr>
            <w:tcW w:type="dxa" w:w="42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Dépassement de l'heure d'arrivée prévue</w:t>
            </w:r>
          </w:p>
        </w:tc>
        <w:tc>
          <w:tcPr>
            <w:tcW w:type="dxa" w:w="255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&gt; 30 % du temps de trajet estimé</w:t>
            </w:r>
          </w:p>
        </w:tc>
      </w:tr>
    </w:tbl>
    <w:p>
      <w:pPr>
        <w:spacing w:after="160" w:line="280"/>
      </w:pPr>
      <w:r>
        <w:rPr>
          <w:i/>
          <w:iCs/>
          <w:color w:val="595959"/>
          <w:sz w:val="20"/>
          <w:szCs w:val="20"/>
        </w:rPr>
        <w:t xml:space="preserve">Ces seuils sont indicatifs, à calibrer avec des données réelles lors du test pilote sur corridor (cf. feuille de route).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4. Choix technologiques et justification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5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Application terrain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Ionic React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 seul code pour Android/iOS ; mode offline-first natif adapté aux zones à connectivité intermittente</w:t>
            </w:r>
          </w:p>
        </w:tc>
      </w:tr>
      <w:tr>
        <w:tc>
          <w:tcPr>
            <w:tcW w:type="dxa" w:w="2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>Backend &amp; tableau de bord</w:t>
            </w:r>
          </w:p>
        </w:tc>
        <w:tc>
          <w:tcPr>
            <w:tcW w:type="dxa" w:w="26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>Zend Framework 3 (PHP)</w:t>
            </w:r>
          </w:p>
        </w:tc>
        <w:tc>
          <w:tcPr>
            <w:tcW w:type="dxa" w:w="435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>Framework MVC PHP mature et stable ; rendu intégré des vues du tableau de bord (pas de SPA séparée) ; large disponibilité de compétences PHP localement ; un seul langage/runtime côté serveur pour l'API et le tableau de bord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Extension géospatiale native pour le suivi de trajets et le calcul de déviations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5. Stratégie offline-first et sécurité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Application terrain conçue pour fonctionner sans connexion : les données de chargement et de position sont mises en file locale puis synchronisées dès qu'un réseau est disponible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Scellé numérique à usage unique : toute réutilisation ou altération du code est détectable et journalisée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Traçabilité complète : chaque changement d'état (chargement, position, vérification, alerte) est horodaté et non modifiable a posteriori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Accès au tableau de bord réservé aux agents habilités, avec journalisation des consultations.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6. Plan de validation du prototype</w:t>
      </w:r>
    </w:p>
    <w:p>
      <w:pPr>
        <w:spacing w:after="120" w:line="300"/>
      </w:pPr>
      <w:r>
        <w:rPr>
          <w:sz w:val="22"/>
          <w:szCs w:val="22"/>
        </w:rPr>
        <w:t xml:space="preserve">Objectif : passer du concept actuel (TRL 2-3) à un prototype testé en conditions réelles (TRL 4-5) sur un corridor pilote.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Sélection d'un corridor test avec un partenaire de distribution volontaire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Équipement d'un nombre limité de citernes (scellés + application)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Mesure du taux de détection d'anomalies simulées vs anomalies réelles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Calibrage des seuils d'alerte à partir des données collectées sur le terrain 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Évaluation du taux de disponibilité de l'application en mode offline.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823f0c13765f55508562ef4490fa9d101fbae0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2026-08-28T22:12:17.279Z</dcterms:created>
  <dcterms:modified xsi:type="dcterms:W3CDTF">2026-08-28T22:12:17.292Z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