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de l'Agence urbaine de Rabat-Salé</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calculer 1 indicateur aujourd'hui non disponible.</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de l'Agence urbaine de Rabat-Salé.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Essentielle</w:t>
            </w:r>
          </w:p>
        </w:tc>
        <w:tc>
          <w:tcPr>
            <w:tcW w:type="dxa" w:w="2494"/>
          </w:tcPr>
          <w:p>
            <w:r>
              <w:rPr>
                <w:sz w:val="15"/>
              </w:rPr>
              <w:t>Couverture par les documents d'urbanisme homologués (plans d'aménagement, périmètres, dates d'homologation)</w:t>
            </w:r>
          </w:p>
        </w:tc>
        <w:tc>
          <w:tcPr>
            <w:tcW w:type="dxa" w:w="1361"/>
          </w:tcPr>
          <w:p>
            <w:r>
              <w:rPr>
                <w:sz w:val="15"/>
              </w:rPr>
              <w:t>Arrondissement ou commune</w:t>
            </w:r>
          </w:p>
        </w:tc>
        <w:tc>
          <w:tcPr>
            <w:tcW w:type="dxa" w:w="1361"/>
          </w:tcPr>
          <w:p>
            <w:r>
              <w:rPr>
                <w:sz w:val="15"/>
              </w:rPr>
              <w:t>Fichier géographique des périmètres et tableau des documents</w:t>
            </w:r>
          </w:p>
        </w:tc>
        <w:tc>
          <w:tcPr>
            <w:tcW w:type="dxa" w:w="1134"/>
          </w:tcPr>
          <w:p>
            <w:r>
              <w:rPr>
                <w:sz w:val="15"/>
              </w:rPr>
              <w:t>Situation la plus récente disponible</w:t>
              <w:br/>
              <w:t>Fréquence : annuelle</w:t>
            </w:r>
          </w:p>
        </w:tc>
        <w:tc>
          <w:tcPr>
            <w:tcW w:type="dxa" w:w="1984"/>
          </w:tcPr>
          <w:p>
            <w:r>
              <w:rPr>
                <w:sz w:val="15"/>
              </w:rPr>
              <w:t>Calculer : Couverture par un document d'urbanisme homologué</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