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régional(e) du développement durable de la Région Rabat-Salé-Kénitra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régional(e),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mesurer 1 thème aujourd'hui sans indicateur (bruit et nuisances).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régional(e),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régional(e) du développement durable de la Région Rabat-Salé-Kénitra.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Mesures du bruit ambiant (points de mesure, niveaux, périodes)</w:t>
            </w:r>
          </w:p>
        </w:tc>
        <w:tc>
          <w:tcPr>
            <w:tcW w:type="dxa" w:w="1361"/>
          </w:tcPr>
          <w:p>
            <w:r>
              <w:rPr>
                <w:sz w:val="15"/>
              </w:rPr>
              <w:t>Point de mesure (coordonnées géographiques)</w:t>
            </w:r>
          </w:p>
        </w:tc>
        <w:tc>
          <w:tcPr>
            <w:tcW w:type="dxa" w:w="1361"/>
          </w:tcPr>
          <w:p>
            <w:r>
              <w:rPr>
                <w:sz w:val="15"/>
              </w:rPr>
              <w:t>Tableau avec coordonnées (Excel ou CSV)</w:t>
            </w:r>
          </w:p>
        </w:tc>
        <w:tc>
          <w:tcPr>
            <w:tcW w:type="dxa" w:w="1134"/>
          </w:tcPr>
          <w:p>
            <w:r>
              <w:rPr>
                <w:sz w:val="15"/>
              </w:rPr>
              <w:t>Situation la plus récente disponible</w:t>
              <w:br/>
              <w:t>Fréquence : selon les campagnes de mesure</w:t>
            </w:r>
          </w:p>
        </w:tc>
        <w:tc>
          <w:tcPr>
            <w:tcW w:type="dxa" w:w="1984"/>
          </w:tcPr>
          <w:p>
            <w:r>
              <w:rPr>
                <w:sz w:val="15"/>
              </w:rPr>
              <w:t>Mesurer un thème aujourd'hui sans indicateur : Bruit et nuisances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