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Président(e) du Conseil de la Région Rabat-Salé-Kénitra</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Président(e),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situer les projets programmés par rapport aux déficits mesurés.</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Président(e),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Président(e) du Conseil de la Région Rabat-Salé-Kénitra.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Contexte</w:t>
            </w:r>
          </w:p>
        </w:tc>
        <w:tc>
          <w:tcPr>
            <w:tcW w:type="dxa" w:w="2494"/>
          </w:tcPr>
          <w:p>
            <w:r>
              <w:rPr>
                <w:sz w:val="15"/>
              </w:rPr>
              <w:t>Projets du programme de développement régional localisés dans l'agglomération : localisation, secteur, état d'avancement</w:t>
            </w:r>
          </w:p>
        </w:tc>
        <w:tc>
          <w:tcPr>
            <w:tcW w:type="dxa" w:w="1361"/>
          </w:tcPr>
          <w:p>
            <w:r>
              <w:rPr>
                <w:sz w:val="15"/>
              </w:rPr>
              <w:t>Projet (commune ou arrondissement)</w:t>
            </w:r>
          </w:p>
        </w:tc>
        <w:tc>
          <w:tcPr>
            <w:tcW w:type="dxa" w:w="1361"/>
          </w:tcPr>
          <w:p>
            <w:r>
              <w:rPr>
                <w:sz w:val="15"/>
              </w:rPr>
              <w:t>Tableau (Excel ou CSV)</w:t>
            </w:r>
          </w:p>
        </w:tc>
        <w:tc>
          <w:tcPr>
            <w:tcW w:type="dxa" w:w="1134"/>
          </w:tcPr>
          <w:p>
            <w:r>
              <w:rPr>
                <w:sz w:val="15"/>
              </w:rPr>
              <w:t>Programmation en cours</w:t>
              <w:br/>
              <w:t>Fréquence : annuelle</w:t>
            </w:r>
          </w:p>
        </w:tc>
        <w:tc>
          <w:tcPr>
            <w:tcW w:type="dxa" w:w="1984"/>
          </w:tcPr>
          <w:p>
            <w:r>
              <w:rPr>
                <w:sz w:val="15"/>
              </w:rPr>
              <w:t>Situer les projets programmés par rapport aux déficits mesurés</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