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Wali de la Région Rabat-Salé-Kénitra, Gouverneur de la Préfecture de Rabat</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Wali,</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situer les projets programmés par rapport aux déficits mesurés. Les données détenues par les préfectures de Salé et de Skhirate-Témara pourraient utilement compléter cette demande.</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Wali,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Wali de la Région Rabat-Salé-Kénitra, Gouverneur de la Préfecture de Rabat.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Contexte</w:t>
            </w:r>
          </w:p>
        </w:tc>
        <w:tc>
          <w:tcPr>
            <w:tcW w:type="dxa" w:w="2494"/>
          </w:tcPr>
          <w:p>
            <w:r>
              <w:rPr>
                <w:sz w:val="15"/>
              </w:rPr>
              <w:t>Projets programmés ou en cours dans le cadre des programmes de développement territorial intégré (PDTI) : localisation, secteur, état d'avancement</w:t>
            </w:r>
          </w:p>
        </w:tc>
        <w:tc>
          <w:tcPr>
            <w:tcW w:type="dxa" w:w="1361"/>
          </w:tcPr>
          <w:p>
            <w:r>
              <w:rPr>
                <w:sz w:val="15"/>
              </w:rPr>
              <w:t>Projet (commune ou arrondissement)</w:t>
            </w:r>
          </w:p>
        </w:tc>
        <w:tc>
          <w:tcPr>
            <w:tcW w:type="dxa" w:w="1361"/>
          </w:tcPr>
          <w:p>
            <w:r>
              <w:rPr>
                <w:sz w:val="15"/>
              </w:rPr>
              <w:t>Tableau (Excel ou CSV)</w:t>
            </w:r>
          </w:p>
        </w:tc>
        <w:tc>
          <w:tcPr>
            <w:tcW w:type="dxa" w:w="1134"/>
          </w:tcPr>
          <w:p>
            <w:r>
              <w:rPr>
                <w:sz w:val="15"/>
              </w:rPr>
              <w:t>Programmation en cours</w:t>
              <w:br/>
              <w:t>Fréquence : semestrielle</w:t>
            </w:r>
          </w:p>
        </w:tc>
        <w:tc>
          <w:tcPr>
            <w:tcW w:type="dxa" w:w="1984"/>
          </w:tcPr>
          <w:p>
            <w:r>
              <w:rPr>
                <w:sz w:val="15"/>
              </w:rPr>
              <w:t>Situer les projets programmés par rapport aux déficits mesurés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