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6E5A" w:sz="36" w:space="0"/>
        </w:pBdr>
        <w:spacing w:after="0" w:before="0"/>
      </w:pPr>
      <w:r>
        <w:rPr>
          <w:rFonts w:ascii="Calibri" w:cs="Calibri" w:eastAsia="Calibri" w:hAnsi="Calibri"/>
          <w:b w:val="false"/>
          <w:bCs w:val="false"/>
          <w:i w:val="false"/>
          <w:iCs w:val="false"/>
          <w:color w:val="1A1A1A"/>
          <w:sz w:val="20"/>
          <w:szCs w:val="20"/>
        </w:rPr>
        <w:t xml:space="preserve"/>
      </w:r>
    </w:p>
    <w:p>
      <w:pPr>
        <w:spacing w:after="600" w:before="0" w:line="276"/>
        <w:jc w:val="left"/>
      </w:pPr>
      <w:r>
        <w:rPr>
          <w:rFonts w:ascii="Calibri" w:cs="Calibri" w:eastAsia="Calibri" w:hAnsi="Calibri"/>
          <w:b w:val="false"/>
          <w:bCs w:val="false"/>
          <w:i w:val="false"/>
          <w:iCs w:val="false"/>
          <w:color w:val="1A1A1A"/>
          <w:sz w:val="20"/>
          <w:szCs w:val="20"/>
        </w:rPr>
        <w:t xml:space="preserve"/>
      </w:r>
    </w:p>
    <w:p>
      <w:pPr>
        <w:spacing w:after="40" w:before="0" w:line="276"/>
        <w:jc w:val="center"/>
      </w:pPr>
      <w:r>
        <w:rPr>
          <w:rFonts w:ascii="Calibri" w:cs="Calibri" w:eastAsia="Calibri" w:hAnsi="Calibri"/>
          <w:b/>
          <w:bCs/>
          <w:i w:val="false"/>
          <w:iCs w:val="false"/>
          <w:color w:val="1A9070"/>
          <w:sz w:val="18"/>
          <w:szCs w:val="18"/>
        </w:rPr>
        <w:t xml:space="preserve">BUSINESS PLAN  ·  ÉDITION 2026</w:t>
      </w:r>
    </w:p>
    <w:p>
      <w:pPr>
        <w:spacing w:after="20" w:before="0"/>
        <w:jc w:val="center"/>
      </w:pPr>
      <w:r>
        <w:rPr>
          <w:rFonts w:ascii="Calibri" w:cs="Calibri" w:eastAsia="Calibri" w:hAnsi="Calibri"/>
          <w:b/>
          <w:bCs/>
          <w:i w:val="false"/>
          <w:iCs w:val="false"/>
          <w:color w:val="1A1A1A"/>
          <w:sz w:val="64"/>
          <w:szCs w:val="64"/>
        </w:rPr>
        <w:t xml:space="preserve">PilotBI</w:t>
      </w:r>
    </w:p>
    <w:p>
      <w:pPr>
        <w:spacing w:after="60" w:before="0"/>
        <w:jc w:val="center"/>
      </w:pPr>
      <w:r>
        <w:rPr>
          <w:rFonts w:ascii="Calibri" w:cs="Calibri" w:eastAsia="Calibri" w:hAnsi="Calibri"/>
          <w:b w:val="false"/>
          <w:bCs w:val="false"/>
          <w:i/>
          <w:iCs/>
          <w:color w:val="718096"/>
          <w:sz w:val="28"/>
          <w:szCs w:val="28"/>
        </w:rPr>
        <w:t xml:space="preserve">Intelligence Décisionnelle pour PMEs Marocaines</w:t>
      </w:r>
    </w:p>
    <w:p>
      <w:pPr>
        <w:pBdr>
          <w:bottom w:val="single" w:color="0D6E5A" w:sz="8" w:space="2"/>
        </w:pBdr>
        <w:spacing w:after="60" w:before="60"/>
      </w:pPr>
      <w:r>
        <w:rPr>
          <w:rFonts w:ascii="Calibri" w:cs="Calibri" w:eastAsia="Calibri" w:hAnsi="Calibri"/>
          <w:b w:val="false"/>
          <w:bCs w:val="false"/>
          <w:i w:val="false"/>
          <w:iCs w:val="false"/>
          <w:color w:val="1A1A1A"/>
          <w:sz w:val="20"/>
          <w:szCs w:val="20"/>
        </w:rPr>
        <w:t xml:space="preserve"/>
      </w:r>
    </w:p>
    <w:p>
      <w:pPr>
        <w:spacing w:after="300" w:before="0" w:line="276"/>
        <w:jc w:val="left"/>
      </w:pPr>
      <w:r>
        <w:rPr>
          <w:rFonts w:ascii="Calibri" w:cs="Calibri" w:eastAsia="Calibri" w:hAnsi="Calibri"/>
          <w:b w:val="false"/>
          <w:bCs w:val="false"/>
          <w:i w:val="false"/>
          <w:iCs w:val="false"/>
          <w:color w:val="1A1A1A"/>
          <w:sz w:val="20"/>
          <w:szCs w:val="20"/>
        </w:rPr>
        <w:t xml:space="preserve"/>
      </w:r>
    </w:p>
    <w:p>
      <w:pPr>
        <w:spacing w:after="0" w:before="0"/>
        <w:jc w:val="center"/>
      </w:pPr>
      <w:r>
        <w:rPr>
          <w:rFonts w:ascii="Calibri" w:cs="Calibri" w:eastAsia="Calibri" w:hAnsi="Calibri"/>
          <w:b w:val="false"/>
          <w:bCs w:val="false"/>
          <w:i/>
          <w:iCs/>
          <w:color w:val="2D3748"/>
          <w:sz w:val="22"/>
          <w:szCs w:val="22"/>
        </w:rPr>
        <w:t xml:space="preserve">"Vos données prises en charge. Vos décisions éclairées."</w:t>
      </w:r>
    </w:p>
    <w:p>
      <w:pPr>
        <w:spacing w:after="40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0D6E5A" w:sz="6"/>
              <w:left w:val="single" w:color="0D6E5A" w:sz="6"/>
              <w:bottom w:val="single" w:color="0D6E5A" w:sz="6"/>
              <w:right w:val="single" w:color="0D6E5A" w:sz="6"/>
            </w:tcBorders>
            <w:shd w:fill="E6F4F0"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0D6E5A"/>
                <w:sz w:val="28"/>
                <w:szCs w:val="28"/>
              </w:rPr>
              <w:t xml:space="preserve">990 MAD</w:t>
            </w:r>
          </w:p>
          <w:p>
            <w:pPr>
              <w:spacing w:after="0" w:before="0"/>
              <w:jc w:val="center"/>
            </w:pPr>
            <w:r>
              <w:rPr>
                <w:rFonts w:ascii="Calibri" w:cs="Calibri" w:eastAsia="Calibri" w:hAnsi="Calibri"/>
                <w:b w:val="false"/>
                <w:bCs w:val="false"/>
                <w:i w:val="false"/>
                <w:iCs w:val="false"/>
                <w:color w:val="718096"/>
                <w:sz w:val="17"/>
                <w:szCs w:val="17"/>
              </w:rPr>
              <w:t xml:space="preserve">Abonnement / mois</w:t>
            </w:r>
          </w:p>
        </w:tc>
        <w:tc>
          <w:tcPr>
            <w:tcW w:type="dxa" w:w="2256"/>
            <w:tcBorders>
              <w:top w:val="single" w:color="1A365D" w:sz="6"/>
              <w:left w:val="single" w:color="1A365D" w:sz="6"/>
              <w:bottom w:val="single" w:color="1A365D" w:sz="6"/>
              <w:right w:val="single" w:color="1A365D" w:sz="6"/>
            </w:tcBorders>
            <w:shd w:fill="EBF4FF"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1A365D"/>
                <w:sz w:val="28"/>
                <w:szCs w:val="28"/>
              </w:rPr>
              <w:t xml:space="preserve">48h</w:t>
            </w:r>
          </w:p>
          <w:p>
            <w:pPr>
              <w:spacing w:after="0" w:before="0"/>
              <w:jc w:val="center"/>
            </w:pPr>
            <w:r>
              <w:rPr>
                <w:rFonts w:ascii="Calibri" w:cs="Calibri" w:eastAsia="Calibri" w:hAnsi="Calibri"/>
                <w:b w:val="false"/>
                <w:bCs w:val="false"/>
                <w:i w:val="false"/>
                <w:iCs w:val="false"/>
                <w:color w:val="718096"/>
                <w:sz w:val="17"/>
                <w:szCs w:val="17"/>
              </w:rPr>
              <w:t xml:space="preserve">Délai de livraison</w:t>
            </w:r>
          </w:p>
        </w:tc>
        <w:tc>
          <w:tcPr>
            <w:tcW w:type="dxa" w:w="2256"/>
            <w:tcBorders>
              <w:top w:val="single" w:color="D4A853" w:sz="6"/>
              <w:left w:val="single" w:color="D4A853" w:sz="6"/>
              <w:bottom w:val="single" w:color="D4A853" w:sz="6"/>
              <w:right w:val="single" w:color="D4A853" w:sz="6"/>
            </w:tcBorders>
            <w:shd w:fill="FFFBEB"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B7791F"/>
                <w:sz w:val="28"/>
                <w:szCs w:val="28"/>
              </w:rPr>
              <w:t xml:space="preserve">50 000+</w:t>
            </w:r>
          </w:p>
          <w:p>
            <w:pPr>
              <w:spacing w:after="0" w:before="0"/>
              <w:jc w:val="center"/>
            </w:pPr>
            <w:r>
              <w:rPr>
                <w:rFonts w:ascii="Calibri" w:cs="Calibri" w:eastAsia="Calibri" w:hAnsi="Calibri"/>
                <w:b w:val="false"/>
                <w:bCs w:val="false"/>
                <w:i w:val="false"/>
                <w:iCs w:val="false"/>
                <w:color w:val="718096"/>
                <w:sz w:val="17"/>
                <w:szCs w:val="17"/>
              </w:rPr>
              <w:t xml:space="preserve">PMEs cibles au Maroc</w:t>
            </w:r>
          </w:p>
        </w:tc>
        <w:tc>
          <w:tcPr>
            <w:tcW w:type="dxa" w:w="2256"/>
            <w:tcBorders>
              <w:top w:val="single" w:color="276749" w:sz="6"/>
              <w:left w:val="single" w:color="276749" w:sz="6"/>
              <w:bottom w:val="single" w:color="276749" w:sz="6"/>
              <w:right w:val="single" w:color="276749" w:sz="6"/>
            </w:tcBorders>
            <w:shd w:fill="F0FFF4"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276749"/>
                <w:sz w:val="28"/>
                <w:szCs w:val="28"/>
              </w:rPr>
              <w:t xml:space="preserve">0 MAD</w:t>
            </w:r>
          </w:p>
          <w:p>
            <w:pPr>
              <w:spacing w:after="0" w:before="0"/>
              <w:jc w:val="center"/>
            </w:pPr>
            <w:r>
              <w:rPr>
                <w:rFonts w:ascii="Calibri" w:cs="Calibri" w:eastAsia="Calibri" w:hAnsi="Calibri"/>
                <w:b w:val="false"/>
                <w:bCs w:val="false"/>
                <w:i w:val="false"/>
                <w:iCs w:val="false"/>
                <w:color w:val="718096"/>
                <w:sz w:val="17"/>
                <w:szCs w:val="17"/>
              </w:rPr>
              <w:t xml:space="preserve">Investissement initial</w:t>
            </w:r>
          </w:p>
        </w:tc>
      </w:tr>
    </w:tbl>
    <w:p>
      <w:pPr>
        <w:spacing w:after="40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0D6E5A" w:sz="4"/>
              <w:left w:val="single" w:color="0D6E5A" w:sz="4"/>
              <w:bottom w:val="single" w:color="0D6E5A" w:sz="4"/>
              <w:right w:val="single" w:color="0D6E5A" w:sz="4"/>
            </w:tcBorders>
            <w:shd w:fill="F0FAF7" w:val="clear"/>
            <w:tcMar>
              <w:top w:type="dxa" w:w="160"/>
              <w:left w:type="dxa" w:w="200"/>
              <w:bottom w:type="dxa" w:w="160"/>
              <w:right w:type="dxa" w:w="200"/>
            </w:tcMar>
          </w:tcPr>
          <w:p>
            <w:pPr>
              <w:spacing w:after="30" w:before="0"/>
              <w:jc w:val="center"/>
            </w:pPr>
            <w:r>
              <w:rPr>
                <w:rFonts w:ascii="Calibri" w:cs="Calibri" w:eastAsia="Calibri" w:hAnsi="Calibri"/>
                <w:b/>
                <w:bCs/>
                <w:i w:val="false"/>
                <w:iCs w:val="false"/>
                <w:color w:val="0D6E5A"/>
                <w:sz w:val="21"/>
                <w:szCs w:val="21"/>
              </w:rPr>
              <w:t xml:space="preserve">Chaymae Kachiche</w:t>
            </w:r>
          </w:p>
          <w:p>
            <w:pPr>
              <w:spacing w:after="20" w:before="0"/>
              <w:jc w:val="center"/>
            </w:pPr>
            <w:r>
              <w:rPr>
                <w:rFonts w:ascii="Calibri" w:cs="Calibri" w:eastAsia="Calibri" w:hAnsi="Calibri"/>
                <w:b w:val="false"/>
                <w:bCs w:val="false"/>
                <w:i w:val="false"/>
                <w:iCs w:val="false"/>
                <w:color w:val="718096"/>
                <w:sz w:val="18"/>
                <w:szCs w:val="18"/>
              </w:rPr>
              <w:t xml:space="preserve">Co-fondatrice · Directrice Produit</w:t>
            </w:r>
          </w:p>
          <w:p>
            <w:pPr>
              <w:spacing w:after="0" w:before="0"/>
              <w:jc w:val="center"/>
            </w:pPr>
            <w:r>
              <w:rPr>
                <w:rFonts w:ascii="Calibri" w:cs="Calibri" w:eastAsia="Calibri" w:hAnsi="Calibri"/>
                <w:b w:val="false"/>
                <w:bCs w:val="false"/>
                <w:i/>
                <w:iCs/>
                <w:color w:val="718096"/>
                <w:sz w:val="17"/>
                <w:szCs w:val="17"/>
              </w:rPr>
              <w:t xml:space="preserve">Senior Data Analyst · ENSIAS · 4+ ans BI</w:t>
            </w:r>
          </w:p>
        </w:tc>
        <w:tc>
          <w:tcPr>
            <w:tcW w:type="dxa" w:w="200"/>
            <w:tcBorders>
              <w:top w:val="none" w:color="auto" w:sz="0"/>
              <w:left w:val="none" w:color="auto" w:sz="0"/>
              <w:bottom w:val="none" w:color="auto" w:sz="0"/>
              <w:right w:val="none" w:color="auto" w:sz="0"/>
            </w:tcBorders>
            <w:shd w:fill="FFFFFF" w:val="clear"/>
            <w:tcMar>
              <w:top w:type="dxa" w:w="0"/>
              <w:left w:type="dxa" w:w="0"/>
              <w:bottom w:type="dxa" w:w="0"/>
              <w:right w:type="dxa" w:w="0"/>
            </w:tcMar>
          </w:tcPr>
          <w:p>
            <w:r>
              <w:rPr>
                <w:rFonts w:ascii="Calibri" w:cs="Calibri" w:eastAsia="Calibri" w:hAnsi="Calibri"/>
                <w:b w:val="false"/>
                <w:bCs w:val="false"/>
                <w:i w:val="false"/>
                <w:iCs w:val="false"/>
                <w:color w:val="1A1A1A"/>
                <w:sz w:val="20"/>
                <w:szCs w:val="20"/>
              </w:rPr>
              <w:t xml:space="preserve"/>
            </w:r>
          </w:p>
        </w:tc>
        <w:tc>
          <w:tcPr>
            <w:tcW w:type="dxa" w:w="4413"/>
            <w:tcBorders>
              <w:top w:val="single" w:color="0D6E5A" w:sz="4"/>
              <w:left w:val="single" w:color="0D6E5A" w:sz="4"/>
              <w:bottom w:val="single" w:color="0D6E5A" w:sz="4"/>
              <w:right w:val="single" w:color="0D6E5A" w:sz="4"/>
            </w:tcBorders>
            <w:shd w:fill="F0FAF7" w:val="clear"/>
            <w:tcMar>
              <w:top w:type="dxa" w:w="160"/>
              <w:left w:type="dxa" w:w="200"/>
              <w:bottom w:type="dxa" w:w="160"/>
              <w:right w:type="dxa" w:w="200"/>
            </w:tcMar>
          </w:tcPr>
          <w:p>
            <w:pPr>
              <w:spacing w:after="30" w:before="0"/>
              <w:jc w:val="center"/>
            </w:pPr>
            <w:r>
              <w:rPr>
                <w:rFonts w:ascii="Calibri" w:cs="Calibri" w:eastAsia="Calibri" w:hAnsi="Calibri"/>
                <w:b/>
                <w:bCs/>
                <w:i w:val="false"/>
                <w:iCs w:val="false"/>
                <w:color w:val="0D6E5A"/>
                <w:sz w:val="21"/>
                <w:szCs w:val="21"/>
              </w:rPr>
              <w:t xml:space="preserve">L'Associée</w:t>
            </w:r>
          </w:p>
          <w:p>
            <w:pPr>
              <w:spacing w:after="20" w:before="0"/>
              <w:jc w:val="center"/>
            </w:pPr>
            <w:r>
              <w:rPr>
                <w:rFonts w:ascii="Calibri" w:cs="Calibri" w:eastAsia="Calibri" w:hAnsi="Calibri"/>
                <w:b w:val="false"/>
                <w:bCs w:val="false"/>
                <w:i w:val="false"/>
                <w:iCs w:val="false"/>
                <w:color w:val="718096"/>
                <w:sz w:val="18"/>
                <w:szCs w:val="18"/>
              </w:rPr>
              <w:t xml:space="preserve">Co-fondatrice · Directrice Commerciale</w:t>
            </w:r>
          </w:p>
          <w:p>
            <w:pPr>
              <w:spacing w:after="0" w:before="0"/>
              <w:jc w:val="center"/>
            </w:pPr>
            <w:r>
              <w:rPr>
                <w:rFonts w:ascii="Calibri" w:cs="Calibri" w:eastAsia="Calibri" w:hAnsi="Calibri"/>
                <w:b w:val="false"/>
                <w:bCs w:val="false"/>
                <w:i/>
                <w:iCs/>
                <w:color w:val="718096"/>
                <w:sz w:val="17"/>
                <w:szCs w:val="17"/>
              </w:rPr>
              <w:t xml:space="preserve">Expérience SaaS · Marketing · Go-to-Market</w:t>
            </w:r>
          </w:p>
        </w:tc>
      </w:tr>
    </w:tbl>
    <w:p>
      <w:pPr>
        <w:spacing w:after="500" w:before="0" w:line="276"/>
        <w:jc w:val="left"/>
      </w:pPr>
      <w:r>
        <w:rPr>
          <w:rFonts w:ascii="Calibri" w:cs="Calibri" w:eastAsia="Calibri" w:hAnsi="Calibri"/>
          <w:b w:val="false"/>
          <w:bCs w:val="false"/>
          <w:i w:val="false"/>
          <w:iCs w:val="false"/>
          <w:color w:val="1A1A1A"/>
          <w:sz w:val="20"/>
          <w:szCs w:val="20"/>
        </w:rPr>
        <w:t xml:space="preserve"/>
      </w:r>
    </w:p>
    <w:p>
      <w:pPr>
        <w:pBdr>
          <w:bottom w:val="single" w:color="CBD5E0" w:sz="3" w:space="2"/>
        </w:pBdr>
        <w:spacing w:after="60" w:before="60"/>
      </w:pPr>
      <w:r>
        <w:rPr>
          <w:rFonts w:ascii="Calibri" w:cs="Calibri" w:eastAsia="Calibri" w:hAnsi="Calibri"/>
          <w:b w:val="false"/>
          <w:bCs w:val="false"/>
          <w:i w:val="false"/>
          <w:iCs w:val="false"/>
          <w:color w:val="1A1A1A"/>
          <w:sz w:val="20"/>
          <w:szCs w:val="20"/>
        </w:rPr>
        <w:t xml:space="preserve"/>
      </w:r>
    </w:p>
    <w:p>
      <w:pPr>
        <w:spacing w:after="0" w:before="60"/>
        <w:jc w:val="center"/>
      </w:pPr>
      <w:r>
        <w:rPr>
          <w:rFonts w:ascii="Calibri" w:cs="Calibri" w:eastAsia="Calibri" w:hAnsi="Calibri"/>
          <w:b w:val="false"/>
          <w:bCs w:val="false"/>
          <w:i w:val="false"/>
          <w:iCs w:val="false"/>
          <w:color w:val="A0AEC0"/>
          <w:sz w:val="17"/>
          <w:szCs w:val="17"/>
        </w:rPr>
        <w:t xml:space="preserve">Confidentiel  ·  Avril 2026  ·  Maroc</w:t>
      </w:r>
    </w:p>
    <w:p>
      <w:pPr>
        <w:sectPr>
          <w:pgSz w:w="11906" w:h="16838" w:orient="portrait"/>
          <w:pgMar w:top="1000" w:right="1200" w:bottom="1000" w:left="1200" w:header="708" w:footer="708" w:gutter="0"/>
          <w:pgNumType/>
          <w:docGrid w:linePitch="360"/>
        </w:sectPr>
      </w:pPr>
    </w:p>
    <w:p>
      <w:pPr>
        <w:pBdr>
          <w:bottom w:val="single" w:color="0D6E5A" w:sz="8" w:space="4"/>
        </w:pBdr>
        <w:spacing w:after="40" w:before="320"/>
      </w:pPr>
      <w:r>
        <w:rPr>
          <w:rFonts w:ascii="Calibri" w:cs="Calibri" w:eastAsia="Calibri" w:hAnsi="Calibri"/>
          <w:b/>
          <w:bCs/>
          <w:i w:val="false"/>
          <w:iCs w:val="false"/>
          <w:color w:val="1A9070"/>
          <w:sz w:val="26"/>
          <w:szCs w:val="26"/>
        </w:rPr>
        <w:t xml:space="preserve">01  </w:t>
      </w:r>
      <w:r>
        <w:rPr>
          <w:rFonts w:ascii="Calibri" w:cs="Calibri" w:eastAsia="Calibri" w:hAnsi="Calibri"/>
          <w:b/>
          <w:bCs/>
          <w:i w:val="false"/>
          <w:iCs w:val="false"/>
          <w:color w:val="1A1A1A"/>
          <w:sz w:val="26"/>
          <w:szCs w:val="26"/>
        </w:rPr>
        <w:t xml:space="preserve">Résumé Exécutif</w:t>
      </w:r>
    </w:p>
    <w:p>
      <w:pPr>
        <w:spacing w:after="80" w:before="60" w:line="300"/>
        <w:jc w:val="left"/>
      </w:pPr>
      <w:r>
        <w:rPr>
          <w:rFonts w:ascii="Calibri" w:cs="Calibri" w:eastAsia="Calibri" w:hAnsi="Calibri"/>
          <w:b w:val="false"/>
          <w:bCs w:val="false"/>
          <w:i w:val="false"/>
          <w:iCs w:val="false"/>
          <w:color w:val="2D3748"/>
          <w:sz w:val="20"/>
          <w:szCs w:val="20"/>
        </w:rPr>
        <w:t xml:space="preserve">PilotBI est un service SaaS de Business Intelligence conçu exclusivement pour les PMEs marocaines qui disposent de données mais n'ont pas les ressources pour les exploiter. En connectant leurs fichiers Excel, Google Sheets ou ERP (Odoo, Sage), les dirigeants obtiennent en 48 heures un tableau de bord personnalisé et un rapport mensuel narratif en français — générés automatiquement par l'intelligence artificielle.</w:t>
      </w:r>
    </w:p>
    <w:p>
      <w:pPr>
        <w:spacing w:after="80" w:before="60" w:line="300"/>
        <w:jc w:val="left"/>
      </w:pPr>
      <w:r>
        <w:rPr>
          <w:rFonts w:ascii="Calibri" w:cs="Calibri" w:eastAsia="Calibri" w:hAnsi="Calibri"/>
          <w:b w:val="false"/>
          <w:bCs w:val="false"/>
          <w:i w:val="false"/>
          <w:iCs w:val="false"/>
          <w:color w:val="2D3748"/>
          <w:sz w:val="20"/>
          <w:szCs w:val="20"/>
        </w:rPr>
        <w:t xml:space="preserve">Le projet est porté par deux co-fondatrices dont les profils sont parfaitement complémentaires : une Senior Data Analyst avec 4 ans d'expérience en BI dans les secteurs bancaire, télécom et distribution au Maroc, et une experte en commercialisation SaaS disposant d'une expérience prouvée en go-to-market et acquisition digitale.</w:t>
      </w:r>
    </w:p>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5A" w:sz="4"/>
              <w:left w:val="single" w:color="0D6E5A" w:sz="18"/>
              <w:bottom w:val="single" w:color="0D6E5A" w:sz="4"/>
              <w:right w:val="single" w:color="0D6E5A" w:sz="4"/>
            </w:tcBorders>
            <w:shd w:fill="E6F4F0" w:val="clear"/>
            <w:tcMar>
              <w:top w:type="dxa" w:w="160"/>
              <w:left w:type="dxa" w:w="260"/>
              <w:bottom w:type="dxa" w:w="160"/>
              <w:right w:type="dxa" w:w="200"/>
            </w:tcMar>
          </w:tcPr>
          <w:p>
            <w:pPr>
              <w:spacing w:after="50" w:before="0"/>
            </w:pPr>
            <w:r>
              <w:rPr>
                <w:rFonts w:ascii="Calibri" w:cs="Calibri" w:eastAsia="Calibri" w:hAnsi="Calibri"/>
                <w:b/>
                <w:bCs/>
                <w:i w:val="false"/>
                <w:iCs w:val="false"/>
                <w:color w:val="0D6E5A"/>
                <w:sz w:val="20"/>
                <w:szCs w:val="20"/>
              </w:rPr>
              <w:t xml:space="preserve">Proposition de valeur centrale</w:t>
            </w:r>
          </w:p>
          <w:p>
            <w:pPr>
              <w:spacing w:after="0" w:before="0"/>
            </w:pPr>
            <w:r>
              <w:rPr>
                <w:rFonts w:ascii="Calibri" w:cs="Calibri" w:eastAsia="Calibri" w:hAnsi="Calibri"/>
                <w:b w:val="false"/>
                <w:bCs w:val="false"/>
                <w:i/>
                <w:iCs/>
                <w:color w:val="2D3748"/>
                <w:sz w:val="20"/>
                <w:szCs w:val="20"/>
              </w:rPr>
              <w:t xml:space="preserve">Pour 990 MAD par mois — moins qu'une journée de consultant — un dirigeant de PME obtient la visibilité sur ses chiffres qu'il n'avait jamais eue. Sans recruter, sans investissement en infrastructure, sans compétences techniques requises.</w:t>
            </w:r>
          </w:p>
        </w:tc>
      </w:tr>
    </w:tbl>
    <w:p>
      <w:pPr>
        <w:spacing w:after="10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0D6E5A" w:sz="6"/>
              <w:left w:val="single" w:color="0D6E5A" w:sz="6"/>
              <w:bottom w:val="single" w:color="0D6E5A" w:sz="6"/>
              <w:right w:val="single" w:color="0D6E5A" w:sz="6"/>
            </w:tcBorders>
            <w:shd w:fill="E6F4F0"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0D6E5A"/>
                <w:sz w:val="26"/>
                <w:szCs w:val="26"/>
              </w:rPr>
              <w:t xml:space="preserve">90%</w:t>
            </w:r>
          </w:p>
          <w:p>
            <w:pPr>
              <w:spacing w:after="0" w:before="0"/>
              <w:jc w:val="center"/>
            </w:pPr>
            <w:r>
              <w:rPr>
                <w:rFonts w:ascii="Calibri" w:cs="Calibri" w:eastAsia="Calibri" w:hAnsi="Calibri"/>
                <w:b w:val="false"/>
                <w:bCs w:val="false"/>
                <w:i w:val="false"/>
                <w:iCs w:val="false"/>
                <w:color w:val="718096"/>
                <w:sz w:val="17"/>
                <w:szCs w:val="17"/>
              </w:rPr>
              <w:t xml:space="preserve">des entreprises au Maroc sont des PMEs</w:t>
            </w:r>
          </w:p>
        </w:tc>
        <w:tc>
          <w:tcPr>
            <w:tcW w:type="dxa" w:w="2256"/>
            <w:tcBorders>
              <w:top w:val="single" w:color="C53030" w:sz="6"/>
              <w:left w:val="single" w:color="C53030" w:sz="6"/>
              <w:bottom w:val="single" w:color="C53030" w:sz="6"/>
              <w:right w:val="single" w:color="C53030" w:sz="6"/>
            </w:tcBorders>
            <w:shd w:fill="FFF5F5"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C53030"/>
                <w:sz w:val="26"/>
                <w:szCs w:val="26"/>
              </w:rPr>
              <w:t xml:space="preserve">200k MAD</w:t>
            </w:r>
          </w:p>
          <w:p>
            <w:pPr>
              <w:spacing w:after="0" w:before="0"/>
              <w:jc w:val="center"/>
            </w:pPr>
            <w:r>
              <w:rPr>
                <w:rFonts w:ascii="Calibri" w:cs="Calibri" w:eastAsia="Calibri" w:hAnsi="Calibri"/>
                <w:b w:val="false"/>
                <w:bCs w:val="false"/>
                <w:i w:val="false"/>
                <w:iCs w:val="false"/>
                <w:color w:val="718096"/>
                <w:sz w:val="17"/>
                <w:szCs w:val="17"/>
              </w:rPr>
              <w:t xml:space="preserve">coût moyen d'un projet BI classique</w:t>
            </w:r>
          </w:p>
        </w:tc>
        <w:tc>
          <w:tcPr>
            <w:tcW w:type="dxa" w:w="2256"/>
            <w:tcBorders>
              <w:top w:val="single" w:color="D4A853" w:sz="6"/>
              <w:left w:val="single" w:color="D4A853" w:sz="6"/>
              <w:bottom w:val="single" w:color="D4A853" w:sz="6"/>
              <w:right w:val="single" w:color="D4A853" w:sz="6"/>
            </w:tcBorders>
            <w:shd w:fill="FFFBEB"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B7791F"/>
                <w:sz w:val="26"/>
                <w:szCs w:val="26"/>
              </w:rPr>
              <w:t xml:space="preserve">990 MAD</w:t>
            </w:r>
          </w:p>
          <w:p>
            <w:pPr>
              <w:spacing w:after="0" w:before="0"/>
              <w:jc w:val="center"/>
            </w:pPr>
            <w:r>
              <w:rPr>
                <w:rFonts w:ascii="Calibri" w:cs="Calibri" w:eastAsia="Calibri" w:hAnsi="Calibri"/>
                <w:b w:val="false"/>
                <w:bCs w:val="false"/>
                <w:i w:val="false"/>
                <w:iCs w:val="false"/>
                <w:color w:val="718096"/>
                <w:sz w:val="17"/>
                <w:szCs w:val="17"/>
              </w:rPr>
              <w:t xml:space="preserve">notre abonnement mensuel Starter</w:t>
            </w:r>
          </w:p>
        </w:tc>
        <w:tc>
          <w:tcPr>
            <w:tcW w:type="dxa" w:w="2256"/>
            <w:tcBorders>
              <w:top w:val="single" w:color="276749" w:sz="6"/>
              <w:left w:val="single" w:color="276749" w:sz="6"/>
              <w:bottom w:val="single" w:color="276749" w:sz="6"/>
              <w:right w:val="single" w:color="276749" w:sz="6"/>
            </w:tcBorders>
            <w:shd w:fill="F0FFF4"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276749"/>
                <w:sz w:val="26"/>
                <w:szCs w:val="26"/>
              </w:rPr>
              <w:t xml:space="preserve">×200</w:t>
            </w:r>
          </w:p>
          <w:p>
            <w:pPr>
              <w:spacing w:after="0" w:before="0"/>
              <w:jc w:val="center"/>
            </w:pPr>
            <w:r>
              <w:rPr>
                <w:rFonts w:ascii="Calibri" w:cs="Calibri" w:eastAsia="Calibri" w:hAnsi="Calibri"/>
                <w:b w:val="false"/>
                <w:bCs w:val="false"/>
                <w:i w:val="false"/>
                <w:iCs w:val="false"/>
                <w:color w:val="718096"/>
                <w:sz w:val="17"/>
                <w:szCs w:val="17"/>
              </w:rPr>
              <w:t xml:space="preserve">différentiel de prix vs le marché</w:t>
            </w:r>
          </w:p>
        </w:tc>
      </w:tr>
    </w:tbl>
    <w:p>
      <w:pPr>
        <w:spacing w:after="120" w:before="0" w:line="276"/>
        <w:jc w:val="left"/>
      </w:pPr>
      <w:r>
        <w:rPr>
          <w:rFonts w:ascii="Calibri" w:cs="Calibri" w:eastAsia="Calibri" w:hAnsi="Calibri"/>
          <w:b w:val="false"/>
          <w:bCs w:val="false"/>
          <w:i w:val="false"/>
          <w:iCs w:val="false"/>
          <w:color w:val="1A1A1A"/>
          <w:sz w:val="20"/>
          <w:szCs w:val="20"/>
        </w:rPr>
        <w:t xml:space="preserve"/>
      </w:r>
    </w:p>
    <w:p>
      <w:pPr>
        <w:pBdr>
          <w:bottom w:val="single" w:color="0D6E5A" w:sz="8" w:space="4"/>
        </w:pBdr>
        <w:spacing w:after="40" w:before="320"/>
      </w:pPr>
      <w:r>
        <w:rPr>
          <w:rFonts w:ascii="Calibri" w:cs="Calibri" w:eastAsia="Calibri" w:hAnsi="Calibri"/>
          <w:b/>
          <w:bCs/>
          <w:i w:val="false"/>
          <w:iCs w:val="false"/>
          <w:color w:val="1A9070"/>
          <w:sz w:val="26"/>
          <w:szCs w:val="26"/>
        </w:rPr>
        <w:t xml:space="preserve">02  </w:t>
      </w:r>
      <w:r>
        <w:rPr>
          <w:rFonts w:ascii="Calibri" w:cs="Calibri" w:eastAsia="Calibri" w:hAnsi="Calibri"/>
          <w:b/>
          <w:bCs/>
          <w:i w:val="false"/>
          <w:iCs w:val="false"/>
          <w:color w:val="1A1A1A"/>
          <w:sz w:val="26"/>
          <w:szCs w:val="26"/>
        </w:rPr>
        <w:t xml:space="preserve">Le Problème — Un Gap de Marché Réel</w:t>
      </w:r>
    </w:p>
    <w:p>
      <w:pPr>
        <w:spacing w:after="60" w:before="200"/>
      </w:pPr>
      <w:r>
        <w:rPr>
          <w:rFonts w:ascii="Calibri" w:cs="Calibri" w:eastAsia="Calibri" w:hAnsi="Calibri"/>
          <w:b/>
          <w:bCs/>
          <w:i w:val="false"/>
          <w:iCs w:val="false"/>
          <w:color w:val="0D6E5A"/>
          <w:sz w:val="22"/>
          <w:szCs w:val="22"/>
        </w:rPr>
        <w:t xml:space="preserve">2.1  La réalité des PMEs marocaines face aux données</w:t>
      </w:r>
    </w:p>
    <w:p>
      <w:pPr>
        <w:spacing w:after="80" w:before="60" w:line="300"/>
        <w:jc w:val="left"/>
      </w:pPr>
      <w:r>
        <w:rPr>
          <w:rFonts w:ascii="Calibri" w:cs="Calibri" w:eastAsia="Calibri" w:hAnsi="Calibri"/>
          <w:b w:val="false"/>
          <w:bCs w:val="false"/>
          <w:i w:val="false"/>
          <w:iCs w:val="false"/>
          <w:color w:val="2D3748"/>
          <w:sz w:val="20"/>
          <w:szCs w:val="20"/>
        </w:rPr>
        <w:t xml:space="preserve">Les PMEs représentent 90% du tissu économique marocain et génèrent plus de la moitié des emplois du secteur privé. Pourtant, la grande majorité d'entre elles pilotent leur activité à l'aveugle. Les données existent — dans des fichiers Excel, dans des logiciels de comptabilité, dans des ERP — mais elles restent inexploitées faute de compétences ou de budget.</w:t>
      </w:r>
    </w:p>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Barrière identifiée</w:t>
            </w:r>
          </w:p>
        </w:tc>
        <w:tc>
          <w:tcPr>
            <w:tcW w:type="dxa" w:w="5426"/>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Conséquence pour le dirigeant</w:t>
            </w:r>
          </w:p>
        </w:tc>
      </w:tr>
      <w:tr>
        <w:tc>
          <w:tcPr>
            <w:tcW w:type="dxa" w:w="3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Manque de compétences internes en data</w:t>
            </w:r>
          </w:p>
        </w:tc>
        <w:tc>
          <w:tcPr>
            <w:tcW w:type="dxa" w:w="5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Impossible d'analyser ses propres chiffres sans aide extérieure</w:t>
            </w:r>
          </w:p>
        </w:tc>
      </w:tr>
      <w:tr>
        <w:tc>
          <w:tcPr>
            <w:tcW w:type="dxa" w:w="36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Coût prohibitif des projets BI classiques</w:t>
            </w:r>
          </w:p>
        </w:tc>
        <w:tc>
          <w:tcPr>
            <w:tcW w:type="dxa" w:w="54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50 000 à 200 000 MAD par projet — inaccessible pour une PME</w:t>
            </w:r>
          </w:p>
        </w:tc>
      </w:tr>
      <w:tr>
        <w:tc>
          <w:tcPr>
            <w:tcW w:type="dxa" w:w="3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Outils internationaux inadaptés</w:t>
            </w:r>
          </w:p>
        </w:tc>
        <w:tc>
          <w:tcPr>
            <w:tcW w:type="dxa" w:w="5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Interfaces en anglais, sans contexte marocain, sans support local</w:t>
            </w:r>
          </w:p>
        </w:tc>
      </w:tr>
      <w:tr>
        <w:tc>
          <w:tcPr>
            <w:tcW w:type="dxa" w:w="36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Données éparpillées dans Excel</w:t>
            </w:r>
          </w:p>
        </w:tc>
        <w:tc>
          <w:tcPr>
            <w:tcW w:type="dxa" w:w="54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Aucune vision consolidée, décisions prises sur intuition</w:t>
            </w:r>
          </w:p>
        </w:tc>
      </w:tr>
      <w:tr>
        <w:tc>
          <w:tcPr>
            <w:tcW w:type="dxa" w:w="3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Résistance au changement</w:t>
            </w:r>
          </w:p>
        </w:tc>
        <w:tc>
          <w:tcPr>
            <w:tcW w:type="dxa" w:w="5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Besoin d'un outil simple, prêt à l'emploi, sans courbe d'apprentissage</w:t>
            </w:r>
          </w:p>
        </w:tc>
      </w:tr>
    </w:tbl>
    <w:p>
      <w:pPr>
        <w:spacing w:after="10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2.2  Ce que le marché manque aujourd'hui</w:t>
      </w:r>
    </w:p>
    <w:p>
      <w:pPr>
        <w:spacing w:after="80" w:before="60" w:line="300"/>
        <w:jc w:val="left"/>
      </w:pPr>
      <w:r>
        <w:rPr>
          <w:rFonts w:ascii="Calibri" w:cs="Calibri" w:eastAsia="Calibri" w:hAnsi="Calibri"/>
          <w:b w:val="false"/>
          <w:bCs w:val="false"/>
          <w:i w:val="false"/>
          <w:iCs w:val="false"/>
          <w:color w:val="2D3748"/>
          <w:sz w:val="20"/>
          <w:szCs w:val="20"/>
        </w:rPr>
        <w:t xml:space="preserve">Il n'existe aucune solution BI sérieuse, abordable, culturellement adaptée et opérationnelle pour les PMEs marocaines. Les outils internationaux (Power BI, Tableau, Looker) sont puissants mais chers, complexes et sans accompagnement local. Les cabinets de conseil proposent des projets sur mesure à des prix que seules les grandes entreprises peuvent se permettre. Le gap entre 'rien' et '200 000 MAD de projet' est entièrement disponible.</w:t>
      </w:r>
    </w:p>
    <w:p>
      <w:r>
        <w:br w:type="page"/>
      </w:r>
    </w:p>
    <w:p>
      <w:pPr>
        <w:pBdr>
          <w:bottom w:val="single" w:color="0D6E5A" w:sz="8" w:space="4"/>
        </w:pBdr>
        <w:spacing w:after="40" w:before="320"/>
      </w:pPr>
      <w:r>
        <w:rPr>
          <w:rFonts w:ascii="Calibri" w:cs="Calibri" w:eastAsia="Calibri" w:hAnsi="Calibri"/>
          <w:b/>
          <w:bCs/>
          <w:i w:val="false"/>
          <w:iCs w:val="false"/>
          <w:color w:val="1A9070"/>
          <w:sz w:val="26"/>
          <w:szCs w:val="26"/>
        </w:rPr>
        <w:t xml:space="preserve">03  </w:t>
      </w:r>
      <w:r>
        <w:rPr>
          <w:rFonts w:ascii="Calibri" w:cs="Calibri" w:eastAsia="Calibri" w:hAnsi="Calibri"/>
          <w:b/>
          <w:bCs/>
          <w:i w:val="false"/>
          <w:iCs w:val="false"/>
          <w:color w:val="1A1A1A"/>
          <w:sz w:val="26"/>
          <w:szCs w:val="26"/>
        </w:rPr>
        <w:t xml:space="preserve">La Solution — PilotBI</w:t>
      </w:r>
    </w:p>
    <w:p>
      <w:pPr>
        <w:spacing w:after="60" w:before="200"/>
      </w:pPr>
      <w:r>
        <w:rPr>
          <w:rFonts w:ascii="Calibri" w:cs="Calibri" w:eastAsia="Calibri" w:hAnsi="Calibri"/>
          <w:b/>
          <w:bCs/>
          <w:i w:val="false"/>
          <w:iCs w:val="false"/>
          <w:color w:val="0D6E5A"/>
          <w:sz w:val="22"/>
          <w:szCs w:val="22"/>
        </w:rPr>
        <w:t xml:space="preserve">3.1  Comment ça fonctionne</w:t>
      </w:r>
    </w:p>
    <w:p>
      <w:pPr>
        <w:spacing w:after="80" w:before="60" w:line="300"/>
        <w:jc w:val="left"/>
      </w:pPr>
      <w:r>
        <w:rPr>
          <w:rFonts w:ascii="Calibri" w:cs="Calibri" w:eastAsia="Calibri" w:hAnsi="Calibri"/>
          <w:b w:val="false"/>
          <w:bCs w:val="false"/>
          <w:i w:val="false"/>
          <w:iCs w:val="false"/>
          <w:color w:val="2D3748"/>
          <w:sz w:val="20"/>
          <w:szCs w:val="20"/>
        </w:rPr>
        <w:t xml:space="preserve">Le parcours utilisateur est conçu pour être accessible à tout dirigeant, sans compétence technique.</w:t>
      </w:r>
    </w:p>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Étape</w:t>
            </w:r>
          </w:p>
        </w:tc>
        <w:tc>
          <w:tcPr>
            <w:tcW w:type="dxa" w:w="32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Ce que fait le client</w:t>
            </w:r>
          </w:p>
        </w:tc>
        <w:tc>
          <w:tcPr>
            <w:tcW w:type="dxa" w:w="4026"/>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Ce que fait PilotBI</w:t>
            </w:r>
          </w:p>
        </w:tc>
      </w:tr>
      <w:tr>
        <w:tc>
          <w:tcPr>
            <w:tcW w:type="dxa" w:w="1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  Connexion</w:t>
            </w:r>
          </w:p>
        </w:tc>
        <w:tc>
          <w:tcPr>
            <w:tcW w:type="dxa" w:w="3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Connecte son Excel ou Google Sheets</w:t>
            </w:r>
          </w:p>
        </w:tc>
        <w:tc>
          <w:tcPr>
            <w:tcW w:type="dxa" w:w="40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Importe et structure les données automatiquement</w:t>
            </w:r>
          </w:p>
        </w:tc>
      </w:tr>
      <w:tr>
        <w:tc>
          <w:tcPr>
            <w:tcW w:type="dxa" w:w="18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2  Configuration</w:t>
            </w:r>
          </w:p>
        </w:tc>
        <w:tc>
          <w:tcPr>
            <w:tcW w:type="dxa" w:w="3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Répond à 5 questions sur son activité</w:t>
            </w:r>
          </w:p>
        </w:tc>
        <w:tc>
          <w:tcPr>
            <w:tcW w:type="dxa" w:w="40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Sélectionne les KPIs pertinents pour son secteur</w:t>
            </w:r>
          </w:p>
        </w:tc>
      </w:tr>
      <w:tr>
        <w:tc>
          <w:tcPr>
            <w:tcW w:type="dxa" w:w="1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3  Dashboard</w:t>
            </w:r>
          </w:p>
        </w:tc>
        <w:tc>
          <w:tcPr>
            <w:tcW w:type="dxa" w:w="3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Attend 48 heures</w:t>
            </w:r>
          </w:p>
        </w:tc>
        <w:tc>
          <w:tcPr>
            <w:tcW w:type="dxa" w:w="40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Génère un tableau de bord personnalisé et interactif</w:t>
            </w:r>
          </w:p>
        </w:tc>
      </w:tr>
      <w:tr>
        <w:tc>
          <w:tcPr>
            <w:tcW w:type="dxa" w:w="18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4  Rapport IA</w:t>
            </w:r>
          </w:p>
        </w:tc>
        <w:tc>
          <w:tcPr>
            <w:tcW w:type="dxa" w:w="3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Reçoit un email mensuel</w:t>
            </w:r>
          </w:p>
        </w:tc>
        <w:tc>
          <w:tcPr>
            <w:tcW w:type="dxa" w:w="40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Rédige en français un rapport narratif avec 3 actions prioritaires</w:t>
            </w:r>
          </w:p>
        </w:tc>
      </w:tr>
      <w:tr>
        <w:tc>
          <w:tcPr>
            <w:tcW w:type="dxa" w:w="1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5  Alertes</w:t>
            </w:r>
          </w:p>
        </w:tc>
        <w:tc>
          <w:tcPr>
            <w:tcW w:type="dxa" w:w="3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Reçoit des notifications WhatsApp ou email</w:t>
            </w:r>
          </w:p>
        </w:tc>
        <w:tc>
          <w:tcPr>
            <w:tcW w:type="dxa" w:w="40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Détecte les anomalies et signale les tendances critiques</w:t>
            </w:r>
          </w:p>
        </w:tc>
      </w:tr>
    </w:tbl>
    <w:p>
      <w:pPr>
        <w:spacing w:after="10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3.2  Ce que le client reçoit concrètement</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Un tableau de bord personnalisé accessible sur mobile et desktop</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Suivi des ventes par produit, région, commercial et période</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Analyse de la marge réelle et des coûts cachés</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Identification des clients à risque et des meilleurs clients</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Détection du stock mort et des ruptures prévisibles</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Rapport narratif mensuel en français avec recommandations actionnables</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Alertes en temps réel via email ou WhatsApp sur les indicateurs critiques</w:t>
      </w:r>
    </w:p>
    <w:p>
      <w:pPr>
        <w:spacing w:after="10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3.3  L'avantage technologique</w:t>
      </w:r>
    </w:p>
    <w:p>
      <w:pPr>
        <w:spacing w:after="80" w:before="60" w:line="300"/>
        <w:jc w:val="left"/>
      </w:pPr>
      <w:r>
        <w:rPr>
          <w:rFonts w:ascii="Calibri" w:cs="Calibri" w:eastAsia="Calibri" w:hAnsi="Calibri"/>
          <w:b w:val="false"/>
          <w:bCs w:val="false"/>
          <w:i w:val="false"/>
          <w:iCs w:val="false"/>
          <w:color w:val="2D3748"/>
          <w:sz w:val="20"/>
          <w:szCs w:val="20"/>
        </w:rPr>
        <w:t xml:space="preserve">PilotBI est construit sur une architecture moderne utilisant l'IA générative (Claude API d'Anthropic) pour la production des rapports narratifs, et des connecteurs de données standard pour l'ingestion automatique. L'interface est développée avec Claude Code — une approche de développement assisté par IA qui réduit le temps de construction d'un MVP de 6 mois à 6 semaines, sans équipe de développeurs dédiée.</w:t>
      </w:r>
    </w:p>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65D" w:sz="4"/>
              <w:left w:val="single" w:color="1A365D" w:sz="18"/>
              <w:bottom w:val="single" w:color="1A365D" w:sz="4"/>
              <w:right w:val="single" w:color="1A365D" w:sz="4"/>
            </w:tcBorders>
            <w:shd w:fill="EBF4FF" w:val="clear"/>
            <w:tcMar>
              <w:top w:type="dxa" w:w="160"/>
              <w:left w:type="dxa" w:w="260"/>
              <w:bottom w:type="dxa" w:w="160"/>
              <w:right w:type="dxa" w:w="200"/>
            </w:tcMar>
          </w:tcPr>
          <w:p>
            <w:pPr>
              <w:spacing w:after="50" w:before="0"/>
            </w:pPr>
            <w:r>
              <w:rPr>
                <w:rFonts w:ascii="Calibri" w:cs="Calibri" w:eastAsia="Calibri" w:hAnsi="Calibri"/>
                <w:b/>
                <w:bCs/>
                <w:i w:val="false"/>
                <w:iCs w:val="false"/>
                <w:color w:val="1A365D"/>
                <w:sz w:val="19"/>
                <w:szCs w:val="19"/>
              </w:rPr>
              <w:t xml:space="preserve">Stack technique</w:t>
            </w:r>
          </w:p>
          <w:p>
            <w:pPr>
              <w:spacing w:after="0" w:before="0"/>
            </w:pPr>
            <w:r>
              <w:rPr>
                <w:rFonts w:ascii="Calibri" w:cs="Calibri" w:eastAsia="Calibri" w:hAnsi="Calibri"/>
                <w:b w:val="false"/>
                <w:bCs w:val="false"/>
                <w:i w:val="false"/>
                <w:iCs w:val="false"/>
                <w:color w:val="2D3748"/>
                <w:sz w:val="19"/>
                <w:szCs w:val="19"/>
              </w:rPr>
              <w:t xml:space="preserve">Frontend : Next.js + Tailwind CSS  ·  Backend : Python / FastAPI  ·  Base de données : Supabase  ·  IA : Claude API (Anthropic)  ·  Paiements : Stripe + CMI  ·  Déploiement : Vercel / Railway  ·  Visualisation : Plotly / Recharts</w:t>
            </w:r>
          </w:p>
        </w:tc>
      </w:tr>
    </w:tbl>
    <w:p>
      <w:r>
        <w:br w:type="page"/>
      </w:r>
    </w:p>
    <w:p>
      <w:pPr>
        <w:pBdr>
          <w:bottom w:val="single" w:color="0D6E5A" w:sz="8" w:space="4"/>
        </w:pBdr>
        <w:spacing w:after="40" w:before="320"/>
      </w:pPr>
      <w:r>
        <w:rPr>
          <w:rFonts w:ascii="Calibri" w:cs="Calibri" w:eastAsia="Calibri" w:hAnsi="Calibri"/>
          <w:b/>
          <w:bCs/>
          <w:i w:val="false"/>
          <w:iCs w:val="false"/>
          <w:color w:val="1A9070"/>
          <w:sz w:val="26"/>
          <w:szCs w:val="26"/>
        </w:rPr>
        <w:t xml:space="preserve">04  </w:t>
      </w:r>
      <w:r>
        <w:rPr>
          <w:rFonts w:ascii="Calibri" w:cs="Calibri" w:eastAsia="Calibri" w:hAnsi="Calibri"/>
          <w:b/>
          <w:bCs/>
          <w:i w:val="false"/>
          <w:iCs w:val="false"/>
          <w:color w:val="1A1A1A"/>
          <w:sz w:val="26"/>
          <w:szCs w:val="26"/>
        </w:rPr>
        <w:t xml:space="preserve">Marché Cible &amp; Segmentation</w:t>
      </w:r>
    </w:p>
    <w:p>
      <w:pPr>
        <w:spacing w:after="60" w:before="200"/>
      </w:pPr>
      <w:r>
        <w:rPr>
          <w:rFonts w:ascii="Calibri" w:cs="Calibri" w:eastAsia="Calibri" w:hAnsi="Calibri"/>
          <w:b/>
          <w:bCs/>
          <w:i w:val="false"/>
          <w:iCs w:val="false"/>
          <w:color w:val="0D6E5A"/>
          <w:sz w:val="22"/>
          <w:szCs w:val="22"/>
        </w:rPr>
        <w:t xml:space="preserve">4.1  Marché adressable</w:t>
      </w:r>
    </w:p>
    <w:p>
      <w:pPr>
        <w:spacing w:after="80" w:before="60" w:line="300"/>
        <w:jc w:val="left"/>
      </w:pPr>
      <w:r>
        <w:rPr>
          <w:rFonts w:ascii="Calibri" w:cs="Calibri" w:eastAsia="Calibri" w:hAnsi="Calibri"/>
          <w:b w:val="false"/>
          <w:bCs w:val="false"/>
          <w:i w:val="false"/>
          <w:iCs w:val="false"/>
          <w:color w:val="2D3748"/>
          <w:sz w:val="20"/>
          <w:szCs w:val="20"/>
        </w:rPr>
        <w:t xml:space="preserve">Le Maroc compte plus de 600 000 PMEs formelles. En ciblant uniquement les entreprises de 10 à 200 salariés dans les secteurs de la distribution, du négoce, du retail et des services — soit environ 80 000 entreprises — PilotBI dispose d'un marché adressable de 950 millions de MAD par an sur le seul plan Starter.</w:t>
      </w:r>
    </w:p>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0D6E5A" w:sz="6"/>
              <w:left w:val="single" w:color="0D6E5A" w:sz="6"/>
              <w:bottom w:val="single" w:color="0D6E5A" w:sz="6"/>
              <w:right w:val="single" w:color="0D6E5A" w:sz="6"/>
            </w:tcBorders>
            <w:shd w:fill="E6F4F0"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0D6E5A"/>
                <w:sz w:val="24"/>
                <w:szCs w:val="24"/>
              </w:rPr>
              <w:t xml:space="preserve">600 000</w:t>
            </w:r>
          </w:p>
          <w:p>
            <w:pPr>
              <w:spacing w:after="0" w:before="0"/>
              <w:jc w:val="center"/>
            </w:pPr>
            <w:r>
              <w:rPr>
                <w:rFonts w:ascii="Calibri" w:cs="Calibri" w:eastAsia="Calibri" w:hAnsi="Calibri"/>
                <w:b w:val="false"/>
                <w:bCs w:val="false"/>
                <w:i w:val="false"/>
                <w:iCs w:val="false"/>
                <w:color w:val="718096"/>
                <w:sz w:val="17"/>
                <w:szCs w:val="17"/>
              </w:rPr>
              <w:t xml:space="preserve">PMEs formelles au Maroc</w:t>
            </w:r>
          </w:p>
        </w:tc>
        <w:tc>
          <w:tcPr>
            <w:tcW w:type="dxa" w:w="2256"/>
            <w:tcBorders>
              <w:top w:val="single" w:color="1A365D" w:sz="6"/>
              <w:left w:val="single" w:color="1A365D" w:sz="6"/>
              <w:bottom w:val="single" w:color="1A365D" w:sz="6"/>
              <w:right w:val="single" w:color="1A365D" w:sz="6"/>
            </w:tcBorders>
            <w:shd w:fill="EBF4FF"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1A365D"/>
                <w:sz w:val="24"/>
                <w:szCs w:val="24"/>
              </w:rPr>
              <w:t xml:space="preserve">~80 000</w:t>
            </w:r>
          </w:p>
          <w:p>
            <w:pPr>
              <w:spacing w:after="0" w:before="0"/>
              <w:jc w:val="center"/>
            </w:pPr>
            <w:r>
              <w:rPr>
                <w:rFonts w:ascii="Calibri" w:cs="Calibri" w:eastAsia="Calibri" w:hAnsi="Calibri"/>
                <w:b w:val="false"/>
                <w:bCs w:val="false"/>
                <w:i w:val="false"/>
                <w:iCs w:val="false"/>
                <w:color w:val="718096"/>
                <w:sz w:val="17"/>
                <w:szCs w:val="17"/>
              </w:rPr>
              <w:t xml:space="preserve">PMEs dans notre ciblage initial</w:t>
            </w:r>
          </w:p>
        </w:tc>
        <w:tc>
          <w:tcPr>
            <w:tcW w:type="dxa" w:w="2256"/>
            <w:tcBorders>
              <w:top w:val="single" w:color="D4A853" w:sz="6"/>
              <w:left w:val="single" w:color="D4A853" w:sz="6"/>
              <w:bottom w:val="single" w:color="D4A853" w:sz="6"/>
              <w:right w:val="single" w:color="D4A853" w:sz="6"/>
            </w:tcBorders>
            <w:shd w:fill="FFFBEB"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B7791F"/>
                <w:sz w:val="24"/>
                <w:szCs w:val="24"/>
              </w:rPr>
              <w:t xml:space="preserve">4,7 Mrd</w:t>
            </w:r>
          </w:p>
          <w:p>
            <w:pPr>
              <w:spacing w:after="0" w:before="0"/>
              <w:jc w:val="center"/>
            </w:pPr>
            <w:r>
              <w:rPr>
                <w:rFonts w:ascii="Calibri" w:cs="Calibri" w:eastAsia="Calibri" w:hAnsi="Calibri"/>
                <w:b w:val="false"/>
                <w:bCs w:val="false"/>
                <w:i w:val="false"/>
                <w:iCs w:val="false"/>
                <w:color w:val="718096"/>
                <w:sz w:val="17"/>
                <w:szCs w:val="17"/>
              </w:rPr>
              <w:t xml:space="preserve">MAD — marché total potentiel / an</w:t>
            </w:r>
          </w:p>
        </w:tc>
        <w:tc>
          <w:tcPr>
            <w:tcW w:type="dxa" w:w="2256"/>
            <w:tcBorders>
              <w:top w:val="single" w:color="276749" w:sz="6"/>
              <w:left w:val="single" w:color="276749" w:sz="6"/>
              <w:bottom w:val="single" w:color="276749" w:sz="6"/>
              <w:right w:val="single" w:color="276749" w:sz="6"/>
            </w:tcBorders>
            <w:shd w:fill="F0FFF4"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276749"/>
                <w:sz w:val="24"/>
                <w:szCs w:val="24"/>
              </w:rPr>
              <w:t xml:space="preserve">1 %</w:t>
            </w:r>
          </w:p>
          <w:p>
            <w:pPr>
              <w:spacing w:after="0" w:before="0"/>
              <w:jc w:val="center"/>
            </w:pPr>
            <w:r>
              <w:rPr>
                <w:rFonts w:ascii="Calibri" w:cs="Calibri" w:eastAsia="Calibri" w:hAnsi="Calibri"/>
                <w:b w:val="false"/>
                <w:bCs w:val="false"/>
                <w:i w:val="false"/>
                <w:iCs w:val="false"/>
                <w:color w:val="718096"/>
                <w:sz w:val="17"/>
                <w:szCs w:val="17"/>
              </w:rPr>
              <w:t xml:space="preserve">de part de marché = 47M MAD/an</w:t>
            </w:r>
          </w:p>
        </w:tc>
      </w:tr>
    </w:tbl>
    <w:p>
      <w:pPr>
        <w:spacing w:after="10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4.2  Segmentation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26"/>
        <w:gridCol w:w="3200"/>
      </w:tblGrid>
      <w:tr>
        <w:trPr>
          <w:tblHeader/>
        </w:trPr>
        <w:tc>
          <w:tcPr>
            <w:tcW w:type="dxa" w:w="24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Segment</w:t>
            </w:r>
          </w:p>
        </w:tc>
        <w:tc>
          <w:tcPr>
            <w:tcW w:type="dxa" w:w="3426"/>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Profil</w:t>
            </w:r>
          </w:p>
        </w:tc>
        <w:tc>
          <w:tcPr>
            <w:tcW w:type="dxa" w:w="32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Douleur principale</w:t>
            </w:r>
          </w:p>
        </w:tc>
      </w:tr>
      <w:tr>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Directeur Général PME</w:t>
            </w:r>
          </w:p>
        </w:tc>
        <w:tc>
          <w:tcPr>
            <w:tcW w:type="dxa" w:w="3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Entreprise 10–50 salariés, distribution ou services</w:t>
            </w:r>
          </w:p>
        </w:tc>
        <w:tc>
          <w:tcPr>
            <w:tcW w:type="dxa" w:w="3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Pas de visibilité sur sa rentabilité réelle</w:t>
            </w:r>
          </w:p>
        </w:tc>
      </w:tr>
      <w:tr>
        <w:tc>
          <w:tcPr>
            <w:tcW w:type="dxa" w:w="2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Directeur Financier</w:t>
            </w:r>
          </w:p>
        </w:tc>
        <w:tc>
          <w:tcPr>
            <w:tcW w:type="dxa" w:w="34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PME 50–200 salariés, reporting mensuel manuel</w:t>
            </w:r>
          </w:p>
        </w:tc>
        <w:tc>
          <w:tcPr>
            <w:tcW w:type="dxa" w:w="3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40h/mois perdues sur des Excel de clôture</w:t>
            </w:r>
          </w:p>
        </w:tc>
      </w:tr>
      <w:tr>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Directeur Commercial</w:t>
            </w:r>
          </w:p>
        </w:tc>
        <w:tc>
          <w:tcPr>
            <w:tcW w:type="dxa" w:w="3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Équipe commerciale de 5–20 personnes</w:t>
            </w:r>
          </w:p>
        </w:tc>
        <w:tc>
          <w:tcPr>
            <w:tcW w:type="dxa" w:w="3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Aucun suivi des performances par vendeur/région</w:t>
            </w:r>
          </w:p>
        </w:tc>
      </w:tr>
      <w:tr>
        <w:tc>
          <w:tcPr>
            <w:tcW w:type="dxa" w:w="2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Comptable / DAF Junior</w:t>
            </w:r>
          </w:p>
        </w:tc>
        <w:tc>
          <w:tcPr>
            <w:tcW w:type="dxa" w:w="34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Chargé de produire des rapports pour la direction</w:t>
            </w:r>
          </w:p>
        </w:tc>
        <w:tc>
          <w:tcPr>
            <w:tcW w:type="dxa" w:w="3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Pas d'outil adapté, pas de compétences BI</w:t>
            </w:r>
          </w:p>
        </w:tc>
      </w:tr>
      <w:tr>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Gérant de boutique/réseau</w:t>
            </w:r>
          </w:p>
        </w:tc>
        <w:tc>
          <w:tcPr>
            <w:tcW w:type="dxa" w:w="3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Multi-points de vente, gestion manuelle des stocks</w:t>
            </w:r>
          </w:p>
        </w:tc>
        <w:tc>
          <w:tcPr>
            <w:tcW w:type="dxa" w:w="3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Impossible de comparer les performances par site</w:t>
            </w:r>
          </w:p>
        </w:tc>
      </w:tr>
    </w:tbl>
    <w:p>
      <w:pPr>
        <w:spacing w:after="10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4.3  Secteurs d'entrée prioritaires</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Distribution et négoce — secteur le plus dense en PMEs avec une douleur immédiate sur les ventes et les stocks</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Retail et commerce multi-sites — besoin de consolidation des données entre points de vente</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Services B2B — cabinets, agences, prestataires qui ont besoin de piloter leur activité récurrente</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Import/export — suivi des marges, des fournisseurs et des délais de paiement</w:t>
      </w:r>
    </w:p>
    <w:p>
      <w:r>
        <w:br w:type="page"/>
      </w:r>
    </w:p>
    <w:p>
      <w:pPr>
        <w:pBdr>
          <w:bottom w:val="single" w:color="0D6E5A" w:sz="8" w:space="4"/>
        </w:pBdr>
        <w:spacing w:after="40" w:before="320"/>
      </w:pPr>
      <w:r>
        <w:rPr>
          <w:rFonts w:ascii="Calibri" w:cs="Calibri" w:eastAsia="Calibri" w:hAnsi="Calibri"/>
          <w:b/>
          <w:bCs/>
          <w:i w:val="false"/>
          <w:iCs w:val="false"/>
          <w:color w:val="1A9070"/>
          <w:sz w:val="26"/>
          <w:szCs w:val="26"/>
        </w:rPr>
        <w:t xml:space="preserve">05  </w:t>
      </w:r>
      <w:r>
        <w:rPr>
          <w:rFonts w:ascii="Calibri" w:cs="Calibri" w:eastAsia="Calibri" w:hAnsi="Calibri"/>
          <w:b/>
          <w:bCs/>
          <w:i w:val="false"/>
          <w:iCs w:val="false"/>
          <w:color w:val="1A1A1A"/>
          <w:sz w:val="26"/>
          <w:szCs w:val="26"/>
        </w:rPr>
        <w:t xml:space="preserve">Modèle de Revenus</w:t>
      </w:r>
    </w:p>
    <w:p>
      <w:pPr>
        <w:spacing w:after="60" w:before="200"/>
      </w:pPr>
      <w:r>
        <w:rPr>
          <w:rFonts w:ascii="Calibri" w:cs="Calibri" w:eastAsia="Calibri" w:hAnsi="Calibri"/>
          <w:b/>
          <w:bCs/>
          <w:i w:val="false"/>
          <w:iCs w:val="false"/>
          <w:color w:val="0D6E5A"/>
          <w:sz w:val="22"/>
          <w:szCs w:val="22"/>
        </w:rPr>
        <w:t xml:space="preserve">5.1  Grille tarifaire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226"/>
      </w:tblGrid>
      <w:tr>
        <w:trPr>
          <w:tblHeader/>
        </w:trPr>
        <w:tc>
          <w:tcPr>
            <w:tcW w:type="dxa" w:w="18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Plan</w:t>
            </w:r>
          </w:p>
        </w:tc>
        <w:tc>
          <w:tcPr>
            <w:tcW w:type="dxa" w:w="16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Prix / mois</w:t>
            </w:r>
          </w:p>
        </w:tc>
        <w:tc>
          <w:tcPr>
            <w:tcW w:type="dxa" w:w="24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Cible</w:t>
            </w:r>
          </w:p>
        </w:tc>
        <w:tc>
          <w:tcPr>
            <w:tcW w:type="dxa" w:w="3226"/>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Inclus</w:t>
            </w:r>
          </w:p>
        </w:tc>
      </w:tr>
      <w:tr>
        <w:tc>
          <w:tcPr>
            <w:tcW w:type="dxa" w:w="1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Starter</w:t>
            </w:r>
          </w:p>
        </w:tc>
        <w:tc>
          <w:tcPr>
            <w:tcW w:type="dxa" w:w="1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990 MAD</w:t>
            </w:r>
          </w:p>
        </w:tc>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Gérant PME 10–30 salariés</w:t>
            </w:r>
          </w:p>
        </w:tc>
        <w:tc>
          <w:tcPr>
            <w:tcW w:type="dxa" w:w="32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 source, dashboard standard, rapport mensuel IA</w:t>
            </w:r>
          </w:p>
        </w:tc>
      </w:tr>
      <w:tr>
        <w:tc>
          <w:tcPr>
            <w:tcW w:type="dxa" w:w="18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Pro</w:t>
            </w:r>
          </w:p>
        </w:tc>
        <w:tc>
          <w:tcPr>
            <w:tcW w:type="dxa" w:w="16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1 990 MAD</w:t>
            </w:r>
          </w:p>
        </w:tc>
        <w:tc>
          <w:tcPr>
            <w:tcW w:type="dxa" w:w="2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DAF / Directeur Commercial</w:t>
            </w:r>
          </w:p>
        </w:tc>
        <w:tc>
          <w:tcPr>
            <w:tcW w:type="dxa" w:w="32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3 sources, dashboard personnalisé, alertes temps réel</w:t>
            </w:r>
          </w:p>
        </w:tc>
      </w:tr>
      <w:tr>
        <w:tc>
          <w:tcPr>
            <w:tcW w:type="dxa" w:w="1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Équipe</w:t>
            </w:r>
          </w:p>
        </w:tc>
        <w:tc>
          <w:tcPr>
            <w:tcW w:type="dxa" w:w="1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3 490 MAD</w:t>
            </w:r>
          </w:p>
        </w:tc>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PME 50–200 salariés</w:t>
            </w:r>
          </w:p>
        </w:tc>
        <w:tc>
          <w:tcPr>
            <w:tcW w:type="dxa" w:w="32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Sources illimitées, multi-users, API, support dédié</w:t>
            </w:r>
          </w:p>
        </w:tc>
      </w:tr>
      <w:tr>
        <w:tc>
          <w:tcPr>
            <w:tcW w:type="dxa" w:w="18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Annuel</w:t>
            </w:r>
          </w:p>
        </w:tc>
        <w:tc>
          <w:tcPr>
            <w:tcW w:type="dxa" w:w="16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–15%</w:t>
            </w:r>
          </w:p>
        </w:tc>
        <w:tc>
          <w:tcPr>
            <w:tcW w:type="dxa" w:w="2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Tous segments</w:t>
            </w:r>
          </w:p>
        </w:tc>
        <w:tc>
          <w:tcPr>
            <w:tcW w:type="dxa" w:w="32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Remise 15% sur engagement annuel prépayé</w:t>
            </w:r>
          </w:p>
        </w:tc>
      </w:tr>
    </w:tbl>
    <w:p>
      <w:pPr>
        <w:spacing w:after="10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5.2  Économie unitaire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Indicateur</w:t>
            </w:r>
          </w:p>
        </w:tc>
        <w:tc>
          <w:tcPr>
            <w:tcW w:type="dxa" w:w="5426"/>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Valeur estimée</w:t>
            </w:r>
          </w:p>
        </w:tc>
      </w:tr>
      <w:tr>
        <w:tc>
          <w:tcPr>
            <w:tcW w:type="dxa" w:w="3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Coût d'acquisition client (CAC)</w:t>
            </w:r>
          </w:p>
        </w:tc>
        <w:tc>
          <w:tcPr>
            <w:tcW w:type="dxa" w:w="5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~300–500 MAD (pub LinkedIn + contenu organique)</w:t>
            </w:r>
          </w:p>
        </w:tc>
      </w:tr>
      <w:tr>
        <w:tc>
          <w:tcPr>
            <w:tcW w:type="dxa" w:w="36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Lifetime Value estimée (LTV à 18 mois)</w:t>
            </w:r>
          </w:p>
        </w:tc>
        <w:tc>
          <w:tcPr>
            <w:tcW w:type="dxa" w:w="54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~17 820 MAD sur plan Starter — ratio LTV/CAC &gt; 35×</w:t>
            </w:r>
          </w:p>
        </w:tc>
      </w:tr>
      <w:tr>
        <w:tc>
          <w:tcPr>
            <w:tcW w:type="dxa" w:w="3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Taux de churn mensuel cible</w:t>
            </w:r>
          </w:p>
        </w:tc>
        <w:tc>
          <w:tcPr>
            <w:tcW w:type="dxa" w:w="5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&lt; 3% — la valeur perçue est récurrente et mesurable</w:t>
            </w:r>
          </w:p>
        </w:tc>
      </w:tr>
      <w:tr>
        <w:tc>
          <w:tcPr>
            <w:tcW w:type="dxa" w:w="36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Marge brute estimée</w:t>
            </w:r>
          </w:p>
        </w:tc>
        <w:tc>
          <w:tcPr>
            <w:tcW w:type="dxa" w:w="54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&gt; 80% — pas de coût variable significatif par client</w:t>
            </w:r>
          </w:p>
        </w:tc>
      </w:tr>
      <w:tr>
        <w:tc>
          <w:tcPr>
            <w:tcW w:type="dxa" w:w="3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Break-even mensuel (charges fixes)</w:t>
            </w:r>
          </w:p>
        </w:tc>
        <w:tc>
          <w:tcPr>
            <w:tcW w:type="dxa" w:w="5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Atteint à environ 20 clients actifs</w:t>
            </w:r>
          </w:p>
        </w:tc>
      </w:tr>
    </w:tbl>
    <w:p>
      <w:pPr>
        <w:spacing w:after="10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5.3  Projections de revenus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400"/>
        <w:gridCol w:w="826"/>
      </w:tblGrid>
      <w:tr>
        <w:trPr>
          <w:tblHeader/>
        </w:trPr>
        <w:tc>
          <w:tcPr>
            <w:tcW w:type="dxa" w:w="16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Période</w:t>
            </w:r>
          </w:p>
        </w:tc>
        <w:tc>
          <w:tcPr>
            <w:tcW w:type="dxa" w:w="18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Clients actifs</w:t>
            </w:r>
          </w:p>
        </w:tc>
        <w:tc>
          <w:tcPr>
            <w:tcW w:type="dxa" w:w="24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Revenu mensuel</w:t>
            </w:r>
          </w:p>
        </w:tc>
        <w:tc>
          <w:tcPr>
            <w:tcW w:type="dxa" w:w="24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Revenu annualisé</w:t>
            </w:r>
          </w:p>
        </w:tc>
        <w:tc>
          <w:tcPr>
            <w:tcW w:type="dxa" w:w="826"/>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Jalon clé</w:t>
            </w:r>
          </w:p>
        </w:tc>
      </w:tr>
      <w:tr>
        <w:tc>
          <w:tcPr>
            <w:tcW w:type="dxa" w:w="1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Mois 1–2</w:t>
            </w:r>
          </w:p>
        </w:tc>
        <w:tc>
          <w:tcPr>
            <w:tcW w:type="dxa" w:w="1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5 clients</w:t>
            </w:r>
          </w:p>
        </w:tc>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4 950 MAD</w:t>
            </w:r>
          </w:p>
        </w:tc>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~59 400 MAD</w:t>
            </w:r>
          </w:p>
        </w:tc>
        <w:tc>
          <w:tcPr>
            <w:tcW w:type="dxa" w:w="8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Validation</w:t>
            </w:r>
          </w:p>
        </w:tc>
      </w:tr>
      <w:tr>
        <w:tc>
          <w:tcPr>
            <w:tcW w:type="dxa" w:w="16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Mois 3</w:t>
            </w:r>
          </w:p>
        </w:tc>
        <w:tc>
          <w:tcPr>
            <w:tcW w:type="dxa" w:w="18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20 clients</w:t>
            </w:r>
          </w:p>
        </w:tc>
        <w:tc>
          <w:tcPr>
            <w:tcW w:type="dxa" w:w="2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19 800 MAD</w:t>
            </w:r>
          </w:p>
        </w:tc>
        <w:tc>
          <w:tcPr>
            <w:tcW w:type="dxa" w:w="2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~238 000 MAD</w:t>
            </w:r>
          </w:p>
        </w:tc>
        <w:tc>
          <w:tcPr>
            <w:tcW w:type="dxa" w:w="8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Traction</w:t>
            </w:r>
          </w:p>
        </w:tc>
      </w:tr>
      <w:tr>
        <w:tc>
          <w:tcPr>
            <w:tcW w:type="dxa" w:w="1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Mois 6</w:t>
            </w:r>
          </w:p>
        </w:tc>
        <w:tc>
          <w:tcPr>
            <w:tcW w:type="dxa" w:w="1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50 clients</w:t>
            </w:r>
          </w:p>
        </w:tc>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49 500 MAD</w:t>
            </w:r>
          </w:p>
        </w:tc>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~594 000 MAD</w:t>
            </w:r>
          </w:p>
        </w:tc>
        <w:tc>
          <w:tcPr>
            <w:tcW w:type="dxa" w:w="8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Stabilité</w:t>
            </w:r>
          </w:p>
        </w:tc>
      </w:tr>
      <w:tr>
        <w:tc>
          <w:tcPr>
            <w:tcW w:type="dxa" w:w="16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Mois 9</w:t>
            </w:r>
          </w:p>
        </w:tc>
        <w:tc>
          <w:tcPr>
            <w:tcW w:type="dxa" w:w="18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100 clients</w:t>
            </w:r>
          </w:p>
        </w:tc>
        <w:tc>
          <w:tcPr>
            <w:tcW w:type="dxa" w:w="2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99 000 MAD</w:t>
            </w:r>
          </w:p>
        </w:tc>
        <w:tc>
          <w:tcPr>
            <w:tcW w:type="dxa" w:w="2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~1,2M MAD</w:t>
            </w:r>
          </w:p>
        </w:tc>
        <w:tc>
          <w:tcPr>
            <w:tcW w:type="dxa" w:w="8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Scale</w:t>
            </w:r>
          </w:p>
        </w:tc>
      </w:tr>
      <w:tr>
        <w:tc>
          <w:tcPr>
            <w:tcW w:type="dxa" w:w="16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Mois 12</w:t>
            </w:r>
          </w:p>
        </w:tc>
        <w:tc>
          <w:tcPr>
            <w:tcW w:type="dxa" w:w="1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200 clients</w:t>
            </w:r>
          </w:p>
        </w:tc>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~250 000 MAD</w:t>
            </w:r>
          </w:p>
        </w:tc>
        <w:tc>
          <w:tcPr>
            <w:tcW w:type="dxa" w:w="2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~3M MAD</w:t>
            </w:r>
          </w:p>
        </w:tc>
        <w:tc>
          <w:tcPr>
            <w:tcW w:type="dxa" w:w="8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Pivot possible</w:t>
            </w:r>
          </w:p>
        </w:tc>
      </w:tr>
    </w:tbl>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53" w:sz="4"/>
              <w:left w:val="single" w:color="D4A853" w:sz="18"/>
              <w:bottom w:val="single" w:color="D4A853" w:sz="4"/>
              <w:right w:val="single" w:color="D4A853" w:sz="4"/>
            </w:tcBorders>
            <w:shd w:fill="FFFBEB" w:val="clear"/>
            <w:tcMar>
              <w:top w:type="dxa" w:w="160"/>
              <w:left w:type="dxa" w:w="260"/>
              <w:bottom w:type="dxa" w:w="160"/>
              <w:right w:type="dxa" w:w="200"/>
            </w:tcMar>
          </w:tcPr>
          <w:p>
            <w:pPr>
              <w:spacing w:after="40" w:before="0"/>
            </w:pPr>
            <w:r>
              <w:rPr>
                <w:rFonts w:ascii="Calibri" w:cs="Calibri" w:eastAsia="Calibri" w:hAnsi="Calibri"/>
                <w:b/>
                <w:bCs/>
                <w:i w:val="false"/>
                <w:iCs w:val="false"/>
                <w:color w:val="B7791F"/>
                <w:sz w:val="19"/>
                <w:szCs w:val="19"/>
              </w:rPr>
              <w:t xml:space="preserve">Signal de sortie du side hustle</w:t>
            </w:r>
          </w:p>
          <w:p>
            <w:pPr>
              <w:spacing w:after="0" w:before="0"/>
            </w:pPr>
            <w:r>
              <w:rPr>
                <w:rFonts w:ascii="Calibri" w:cs="Calibri" w:eastAsia="Calibri" w:hAnsi="Calibri"/>
                <w:b w:val="false"/>
                <w:bCs w:val="false"/>
                <w:i w:val="false"/>
                <w:iCs w:val="false"/>
                <w:color w:val="2D3748"/>
                <w:sz w:val="19"/>
                <w:szCs w:val="19"/>
              </w:rPr>
              <w:t xml:space="preserve">Lorsque les revenus récurrents dépassent 30 000 MAD/mois stables pendant 3 mois consécutifs, l'une des co-fondatrices évalue le passage à temps plein. Ce seuil correspond à environ 35 clients Starter — soit un objectif atteignable dès le mois 5.</w:t>
            </w:r>
          </w:p>
        </w:tc>
      </w:tr>
    </w:tbl>
    <w:p>
      <w:r>
        <w:br w:type="page"/>
      </w:r>
    </w:p>
    <w:p>
      <w:pPr>
        <w:pBdr>
          <w:bottom w:val="single" w:color="0D6E5A" w:sz="8" w:space="4"/>
        </w:pBdr>
        <w:spacing w:after="40" w:before="320"/>
      </w:pPr>
      <w:r>
        <w:rPr>
          <w:rFonts w:ascii="Calibri" w:cs="Calibri" w:eastAsia="Calibri" w:hAnsi="Calibri"/>
          <w:b/>
          <w:bCs/>
          <w:i w:val="false"/>
          <w:iCs w:val="false"/>
          <w:color w:val="1A9070"/>
          <w:sz w:val="26"/>
          <w:szCs w:val="26"/>
        </w:rPr>
        <w:t xml:space="preserve">06  </w:t>
      </w:r>
      <w:r>
        <w:rPr>
          <w:rFonts w:ascii="Calibri" w:cs="Calibri" w:eastAsia="Calibri" w:hAnsi="Calibri"/>
          <w:b/>
          <w:bCs/>
          <w:i w:val="false"/>
          <w:iCs w:val="false"/>
          <w:color w:val="1A1A1A"/>
          <w:sz w:val="26"/>
          <w:szCs w:val="26"/>
        </w:rPr>
        <w:t xml:space="preserve">Stratégie Go-to-Market</w:t>
      </w:r>
    </w:p>
    <w:p>
      <w:pPr>
        <w:spacing w:after="60" w:before="200"/>
      </w:pPr>
      <w:r>
        <w:rPr>
          <w:rFonts w:ascii="Calibri" w:cs="Calibri" w:eastAsia="Calibri" w:hAnsi="Calibri"/>
          <w:b/>
          <w:bCs/>
          <w:i w:val="false"/>
          <w:iCs w:val="false"/>
          <w:color w:val="0D6E5A"/>
          <w:sz w:val="22"/>
          <w:szCs w:val="22"/>
        </w:rPr>
        <w:t xml:space="preserve">6.1  Phase 1 — Validation (Semaines 1–2)</w:t>
      </w:r>
    </w:p>
    <w:p>
      <w:pPr>
        <w:spacing w:after="80" w:before="60" w:line="300"/>
        <w:jc w:val="left"/>
      </w:pPr>
      <w:r>
        <w:rPr>
          <w:rFonts w:ascii="Calibri" w:cs="Calibri" w:eastAsia="Calibri" w:hAnsi="Calibri"/>
          <w:b w:val="false"/>
          <w:bCs w:val="false"/>
          <w:i w:val="false"/>
          <w:iCs w:val="false"/>
          <w:color w:val="2D3748"/>
          <w:sz w:val="20"/>
          <w:szCs w:val="20"/>
        </w:rPr>
        <w:t xml:space="preserve">Avant d'écrire une seule ligne de code, nous validons la demande. Chaymae contacte 5 personnes de son réseau professionnel — DAF, directeurs commerciaux ou DG de PMEs. Le message est simple : 'On prépare un outil de pilotage BI à 990 MAD/mois. Voulez-vous tester gratuitement 2 semaines avec vos propres données ?' Si 3 sur 5 acceptent, le produit est validé. Le code commence.</w:t>
      </w:r>
    </w:p>
    <w:p>
      <w:pPr>
        <w:spacing w:after="8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6.2  Canaux d'acquisition — 100% digital, sans réseau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400"/>
        <w:gridCol w:w="1426"/>
      </w:tblGrid>
      <w:tr>
        <w:trPr>
          <w:tblHeader/>
        </w:trPr>
        <w:tc>
          <w:tcPr>
            <w:tcW w:type="dxa" w:w="20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Canal</w:t>
            </w:r>
          </w:p>
        </w:tc>
        <w:tc>
          <w:tcPr>
            <w:tcW w:type="dxa" w:w="42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Approche</w:t>
            </w:r>
          </w:p>
        </w:tc>
        <w:tc>
          <w:tcPr>
            <w:tcW w:type="dxa" w:w="14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Budget mensuel</w:t>
            </w:r>
          </w:p>
        </w:tc>
        <w:tc>
          <w:tcPr>
            <w:tcW w:type="dxa" w:w="1426"/>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Délai résultats</w:t>
            </w:r>
          </w:p>
        </w:tc>
      </w:tr>
      <w:tr>
        <w:tc>
          <w:tcPr>
            <w:tcW w:type="dxa" w:w="20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LinkedIn Organique</w:t>
            </w:r>
          </w:p>
        </w:tc>
        <w:tc>
          <w:tcPr>
            <w:tcW w:type="dxa" w:w="4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Posts de Chaymae : captures dashboards, tips BI, cas réels BNP/OCP</w:t>
            </w:r>
          </w:p>
        </w:tc>
        <w:tc>
          <w:tcPr>
            <w:tcW w:type="dxa" w:w="1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0 MAD</w:t>
            </w:r>
          </w:p>
        </w:tc>
        <w:tc>
          <w:tcPr>
            <w:tcW w:type="dxa" w:w="1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2–4 semaines</w:t>
            </w:r>
          </w:p>
        </w:tc>
      </w:tr>
      <w:tr>
        <w:tc>
          <w:tcPr>
            <w:tcW w:type="dxa" w:w="20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LinkedIn Ads</w:t>
            </w:r>
          </w:p>
        </w:tc>
        <w:tc>
          <w:tcPr>
            <w:tcW w:type="dxa" w:w="4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Ciblage DAF + Dir. Commercial, PMEs 10–200 salariés Maroc</w:t>
            </w:r>
          </w:p>
        </w:tc>
        <w:tc>
          <w:tcPr>
            <w:tcW w:type="dxa" w:w="1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1 000–2 000 MAD</w:t>
            </w:r>
          </w:p>
        </w:tc>
        <w:tc>
          <w:tcPr>
            <w:tcW w:type="dxa" w:w="14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1–2 semaines</w:t>
            </w:r>
          </w:p>
        </w:tc>
      </w:tr>
      <w:tr>
        <w:tc>
          <w:tcPr>
            <w:tcW w:type="dxa" w:w="20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Meta Ads</w:t>
            </w:r>
          </w:p>
        </w:tc>
        <w:tc>
          <w:tcPr>
            <w:tcW w:type="dxa" w:w="4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'Pilotez votre PME avec vos vrais chiffres' — lien vers démo gratuite</w:t>
            </w:r>
          </w:p>
        </w:tc>
        <w:tc>
          <w:tcPr>
            <w:tcW w:type="dxa" w:w="1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500–1 000 MAD</w:t>
            </w:r>
          </w:p>
        </w:tc>
        <w:tc>
          <w:tcPr>
            <w:tcW w:type="dxa" w:w="1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Immédiat</w:t>
            </w:r>
          </w:p>
        </w:tc>
      </w:tr>
      <w:tr>
        <w:tc>
          <w:tcPr>
            <w:tcW w:type="dxa" w:w="20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SEO / Blog</w:t>
            </w:r>
          </w:p>
        </w:tc>
        <w:tc>
          <w:tcPr>
            <w:tcW w:type="dxa" w:w="4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Articles FR : 'tableau de bord PME Maroc', 'reporting automatique Odoo'</w:t>
            </w:r>
          </w:p>
        </w:tc>
        <w:tc>
          <w:tcPr>
            <w:tcW w:type="dxa" w:w="1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0 MAD</w:t>
            </w:r>
          </w:p>
        </w:tc>
        <w:tc>
          <w:tcPr>
            <w:tcW w:type="dxa" w:w="14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3–6 mois</w:t>
            </w:r>
          </w:p>
        </w:tc>
      </w:tr>
      <w:tr>
        <w:tc>
          <w:tcPr>
            <w:tcW w:type="dxa" w:w="20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Email / Newsletter</w:t>
            </w:r>
          </w:p>
        </w:tc>
        <w:tc>
          <w:tcPr>
            <w:tcW w:type="dxa" w:w="4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Séquence onboarding + newsletter mensuelle insights data Maroc</w:t>
            </w:r>
          </w:p>
        </w:tc>
        <w:tc>
          <w:tcPr>
            <w:tcW w:type="dxa" w:w="14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0 MAD</w:t>
            </w:r>
          </w:p>
        </w:tc>
        <w:tc>
          <w:tcPr>
            <w:tcW w:type="dxa" w:w="14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1–3 mois</w:t>
            </w:r>
          </w:p>
        </w:tc>
      </w:tr>
      <w:tr>
        <w:tc>
          <w:tcPr>
            <w:tcW w:type="dxa" w:w="20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Bouche-à-oreille</w:t>
            </w:r>
          </w:p>
        </w:tc>
        <w:tc>
          <w:tcPr>
            <w:tcW w:type="dxa" w:w="4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Watermark discret sur les rapports gratuits, programme de parrainage</w:t>
            </w:r>
          </w:p>
        </w:tc>
        <w:tc>
          <w:tcPr>
            <w:tcW w:type="dxa" w:w="14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0 MAD</w:t>
            </w:r>
          </w:p>
        </w:tc>
        <w:tc>
          <w:tcPr>
            <w:tcW w:type="dxa" w:w="14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3–6 mois</w:t>
            </w:r>
          </w:p>
        </w:tc>
      </w:tr>
    </w:tbl>
    <w:p>
      <w:pPr>
        <w:spacing w:after="10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6.3  Positionnement concurrentiel</w:t>
      </w:r>
    </w:p>
    <w:p>
      <w:pPr>
        <w:spacing w:after="80" w:before="60" w:line="300"/>
        <w:jc w:val="left"/>
      </w:pPr>
      <w:r>
        <w:rPr>
          <w:rFonts w:ascii="Calibri" w:cs="Calibri" w:eastAsia="Calibri" w:hAnsi="Calibri"/>
          <w:b w:val="false"/>
          <w:bCs w:val="false"/>
          <w:i w:val="false"/>
          <w:iCs w:val="false"/>
          <w:color w:val="2D3748"/>
          <w:sz w:val="20"/>
          <w:szCs w:val="20"/>
        </w:rPr>
        <w:t xml:space="preserve">PilotBI ne se positionne pas comme un outil BI générique. Nous nous positionnons comme 'le service de pilotage des PMEs marocaines' — avec tout ce que cela implique de spécificité locale : interfaces en français et en arabe, KPIs adaptés aux réalités marocaines, support réactif, et une tarification pensée pour le marché local.</w:t>
      </w:r>
    </w:p>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026"/>
      </w:tblGrid>
      <w:tr>
        <w:trPr>
          <w:tblHeader/>
        </w:trPr>
        <w:tc>
          <w:tcPr>
            <w:tcW w:type="dxa" w:w="22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Comparatif</w:t>
            </w:r>
          </w:p>
        </w:tc>
        <w:tc>
          <w:tcPr>
            <w:tcW w:type="dxa" w:w="19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Power BI / Tableau</w:t>
            </w:r>
          </w:p>
        </w:tc>
        <w:tc>
          <w:tcPr>
            <w:tcW w:type="dxa" w:w="19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Cabinets conseil</w:t>
            </w:r>
          </w:p>
        </w:tc>
        <w:tc>
          <w:tcPr>
            <w:tcW w:type="dxa" w:w="3026"/>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PilotBI</w:t>
            </w:r>
          </w:p>
        </w:tc>
      </w:tr>
      <w:tr>
        <w:tc>
          <w:tcPr>
            <w:tcW w:type="dxa" w:w="2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Tarif</w:t>
            </w:r>
          </w:p>
        </w:tc>
        <w:tc>
          <w:tcPr>
            <w:tcW w:type="dxa" w:w="19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10–50 € / user / mois + impl.</w:t>
            </w:r>
          </w:p>
        </w:tc>
        <w:tc>
          <w:tcPr>
            <w:tcW w:type="dxa" w:w="19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50 000–200 000 MAD / projet</w:t>
            </w:r>
          </w:p>
        </w:tc>
        <w:tc>
          <w:tcPr>
            <w:tcW w:type="dxa" w:w="30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990–3 490 MAD / mois tout inclus</w:t>
            </w:r>
          </w:p>
        </w:tc>
      </w:tr>
      <w:tr>
        <w:tc>
          <w:tcPr>
            <w:tcW w:type="dxa" w:w="2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Délai</w:t>
            </w:r>
          </w:p>
        </w:tc>
        <w:tc>
          <w:tcPr>
            <w:tcW w:type="dxa" w:w="19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3–6 mois d'implémentation</w:t>
            </w:r>
          </w:p>
        </w:tc>
        <w:tc>
          <w:tcPr>
            <w:tcW w:type="dxa" w:w="19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3–9 mois</w:t>
            </w:r>
          </w:p>
        </w:tc>
        <w:tc>
          <w:tcPr>
            <w:tcW w:type="dxa" w:w="30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48 heures</w:t>
            </w:r>
          </w:p>
        </w:tc>
      </w:tr>
      <w:tr>
        <w:tc>
          <w:tcPr>
            <w:tcW w:type="dxa" w:w="2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Langue</w:t>
            </w:r>
          </w:p>
        </w:tc>
        <w:tc>
          <w:tcPr>
            <w:tcW w:type="dxa" w:w="19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Anglais principalement</w:t>
            </w:r>
          </w:p>
        </w:tc>
        <w:tc>
          <w:tcPr>
            <w:tcW w:type="dxa" w:w="19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Français / Arabe possible</w:t>
            </w:r>
          </w:p>
        </w:tc>
        <w:tc>
          <w:tcPr>
            <w:tcW w:type="dxa" w:w="30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Français + Arabe natif</w:t>
            </w:r>
          </w:p>
        </w:tc>
      </w:tr>
      <w:tr>
        <w:tc>
          <w:tcPr>
            <w:tcW w:type="dxa" w:w="2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Contexte Maroc</w:t>
            </w:r>
          </w:p>
        </w:tc>
        <w:tc>
          <w:tcPr>
            <w:tcW w:type="dxa" w:w="19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Non adapté</w:t>
            </w:r>
          </w:p>
        </w:tc>
        <w:tc>
          <w:tcPr>
            <w:tcW w:type="dxa" w:w="19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Partiellement</w:t>
            </w:r>
          </w:p>
        </w:tc>
        <w:tc>
          <w:tcPr>
            <w:tcW w:type="dxa" w:w="30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100% conçu pour le Maroc</w:t>
            </w:r>
          </w:p>
        </w:tc>
      </w:tr>
      <w:tr>
        <w:tc>
          <w:tcPr>
            <w:tcW w:type="dxa" w:w="2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Compétences req.</w:t>
            </w:r>
          </w:p>
        </w:tc>
        <w:tc>
          <w:tcPr>
            <w:tcW w:type="dxa" w:w="19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Data Analyst interne requis</w:t>
            </w:r>
          </w:p>
        </w:tc>
        <w:tc>
          <w:tcPr>
            <w:tcW w:type="dxa" w:w="19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Équipe IT interne requise</w:t>
            </w:r>
          </w:p>
        </w:tc>
        <w:tc>
          <w:tcPr>
            <w:tcW w:type="dxa" w:w="30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Zéro compétence technique</w:t>
            </w:r>
          </w:p>
        </w:tc>
      </w:tr>
    </w:tbl>
    <w:p>
      <w:r>
        <w:br w:type="page"/>
      </w:r>
    </w:p>
    <w:p>
      <w:pPr>
        <w:pBdr>
          <w:bottom w:val="single" w:color="0D6E5A" w:sz="8" w:space="4"/>
        </w:pBdr>
        <w:spacing w:after="40" w:before="320"/>
      </w:pPr>
      <w:r>
        <w:rPr>
          <w:rFonts w:ascii="Calibri" w:cs="Calibri" w:eastAsia="Calibri" w:hAnsi="Calibri"/>
          <w:b/>
          <w:bCs/>
          <w:i w:val="false"/>
          <w:iCs w:val="false"/>
          <w:color w:val="1A9070"/>
          <w:sz w:val="26"/>
          <w:szCs w:val="26"/>
        </w:rPr>
        <w:t xml:space="preserve">07  </w:t>
      </w:r>
      <w:r>
        <w:rPr>
          <w:rFonts w:ascii="Calibri" w:cs="Calibri" w:eastAsia="Calibri" w:hAnsi="Calibri"/>
          <w:b/>
          <w:bCs/>
          <w:i w:val="false"/>
          <w:iCs w:val="false"/>
          <w:color w:val="1A1A1A"/>
          <w:sz w:val="26"/>
          <w:szCs w:val="26"/>
        </w:rPr>
        <w:t xml:space="preserve">Équipe &amp; Organisation</w:t>
      </w:r>
    </w:p>
    <w:p>
      <w:pPr>
        <w:spacing w:after="60" w:before="200"/>
      </w:pPr>
      <w:r>
        <w:rPr>
          <w:rFonts w:ascii="Calibri" w:cs="Calibri" w:eastAsia="Calibri" w:hAnsi="Calibri"/>
          <w:b/>
          <w:bCs/>
          <w:i w:val="false"/>
          <w:iCs w:val="false"/>
          <w:color w:val="0D6E5A"/>
          <w:sz w:val="22"/>
          <w:szCs w:val="22"/>
        </w:rPr>
        <w:t xml:space="preserve">7.1  Les co-fondatrices</w:t>
      </w:r>
    </w:p>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0D6E5A" w:sz="5"/>
              <w:left w:val="single" w:color="0D6E5A" w:sz="5"/>
              <w:bottom w:val="single" w:color="0D6E5A" w:sz="5"/>
              <w:right w:val="single" w:color="0D6E5A" w:sz="5"/>
            </w:tcBorders>
            <w:shd w:fill="E6F4F0" w:val="clear"/>
            <w:tcMar>
              <w:top w:type="dxa" w:w="160"/>
              <w:left w:type="dxa" w:w="220"/>
              <w:bottom w:type="dxa" w:w="180"/>
              <w:right w:type="dxa" w:w="200"/>
            </w:tcMar>
          </w:tcPr>
          <w:p>
            <w:pPr>
              <w:spacing w:after="40" w:before="0"/>
            </w:pPr>
            <w:r>
              <w:rPr>
                <w:rFonts w:ascii="Calibri" w:cs="Calibri" w:eastAsia="Calibri" w:hAnsi="Calibri"/>
                <w:b/>
                <w:bCs/>
                <w:i w:val="false"/>
                <w:iCs w:val="false"/>
                <w:color w:val="0D6E5A"/>
                <w:sz w:val="22"/>
                <w:szCs w:val="22"/>
              </w:rPr>
              <w:t xml:space="preserve">Chaymae Kachiche</w:t>
            </w:r>
          </w:p>
          <w:p>
            <w:pPr>
              <w:spacing w:after="60" w:before="0"/>
            </w:pPr>
            <w:r>
              <w:rPr>
                <w:rFonts w:ascii="Calibri" w:cs="Calibri" w:eastAsia="Calibri" w:hAnsi="Calibri"/>
                <w:b w:val="false"/>
                <w:bCs w:val="false"/>
                <w:i w:val="false"/>
                <w:iCs w:val="false"/>
                <w:color w:val="718096"/>
                <w:sz w:val="18"/>
                <w:szCs w:val="18"/>
              </w:rPr>
              <w:t xml:space="preserve">Co-fondatrice · CTO / Directrice Produit</w:t>
            </w:r>
          </w:p>
          <w:p>
            <w:pPr>
              <w:pStyle w:val="ListParagraph"/>
              <w:numPr>
                <w:ilvl w:val="0"/>
                <w:numId w:val="2"/>
              </w:numPr>
              <w:spacing w:after="30" w:before="30"/>
            </w:pPr>
            <w:r>
              <w:rPr>
                <w:rFonts w:ascii="Calibri" w:cs="Calibri" w:eastAsia="Calibri" w:hAnsi="Calibri"/>
                <w:b w:val="false"/>
                <w:bCs w:val="false"/>
                <w:i w:val="false"/>
                <w:iCs w:val="false"/>
                <w:color w:val="2D3748"/>
                <w:sz w:val="18"/>
                <w:szCs w:val="18"/>
              </w:rPr>
              <w:t xml:space="preserve">Ingénieure d'État ENSIAS — e-Management &amp; BI</w:t>
            </w:r>
          </w:p>
          <w:p>
            <w:pPr>
              <w:pStyle w:val="ListParagraph"/>
              <w:numPr>
                <w:ilvl w:val="0"/>
                <w:numId w:val="2"/>
              </w:numPr>
              <w:spacing w:after="30" w:before="30"/>
            </w:pPr>
            <w:r>
              <w:rPr>
                <w:rFonts w:ascii="Calibri" w:cs="Calibri" w:eastAsia="Calibri" w:hAnsi="Calibri"/>
                <w:b w:val="false"/>
                <w:bCs w:val="false"/>
                <w:i w:val="false"/>
                <w:iCs w:val="false"/>
                <w:color w:val="2D3748"/>
                <w:sz w:val="18"/>
                <w:szCs w:val="18"/>
              </w:rPr>
              <w:t xml:space="preserve">4+ ans BI : SQLI, BNP Paribas, D&amp;A Technologies</w:t>
            </w:r>
          </w:p>
          <w:p>
            <w:pPr>
              <w:pStyle w:val="ListParagraph"/>
              <w:numPr>
                <w:ilvl w:val="0"/>
                <w:numId w:val="2"/>
              </w:numPr>
              <w:spacing w:after="30" w:before="30"/>
            </w:pPr>
            <w:r>
              <w:rPr>
                <w:rFonts w:ascii="Calibri" w:cs="Calibri" w:eastAsia="Calibri" w:hAnsi="Calibri"/>
                <w:b w:val="false"/>
                <w:bCs w:val="false"/>
                <w:i w:val="false"/>
                <w:iCs w:val="false"/>
                <w:color w:val="2D3748"/>
                <w:sz w:val="18"/>
                <w:szCs w:val="18"/>
              </w:rPr>
              <w:t xml:space="preserve">Références : OCP Africa, Orange Group, CIH Banque</w:t>
            </w:r>
          </w:p>
          <w:p>
            <w:pPr>
              <w:pStyle w:val="ListParagraph"/>
              <w:numPr>
                <w:ilvl w:val="0"/>
                <w:numId w:val="2"/>
              </w:numPr>
              <w:spacing w:after="30" w:before="30"/>
            </w:pPr>
            <w:r>
              <w:rPr>
                <w:rFonts w:ascii="Calibri" w:cs="Calibri" w:eastAsia="Calibri" w:hAnsi="Calibri"/>
                <w:b w:val="false"/>
                <w:bCs w:val="false"/>
                <w:i w:val="false"/>
                <w:iCs w:val="false"/>
                <w:color w:val="2D3748"/>
                <w:sz w:val="18"/>
                <w:szCs w:val="18"/>
              </w:rPr>
              <w:t xml:space="preserve">Tableau Desktop Specialist — maîtrise Python, SQL, ETL</w:t>
            </w:r>
          </w:p>
        </w:tc>
        <w:tc>
          <w:tcPr>
            <w:tcW w:type="dxa" w:w="200"/>
            <w:tcBorders>
              <w:top w:val="none" w:color="auto" w:sz="0"/>
              <w:left w:val="none" w:color="auto" w:sz="0"/>
              <w:bottom w:val="none" w:color="auto" w:sz="0"/>
              <w:right w:val="none" w:color="auto" w:sz="0"/>
            </w:tcBorders>
            <w:shd w:fill="FFFFFF" w:val="clear"/>
            <w:tcMar>
              <w:top w:type="dxa" w:w="0"/>
              <w:left w:type="dxa" w:w="0"/>
              <w:bottom w:type="dxa" w:w="0"/>
              <w:right w:type="dxa" w:w="0"/>
            </w:tcMar>
          </w:tcPr>
          <w:p>
            <w:r>
              <w:rPr>
                <w:rFonts w:ascii="Calibri" w:cs="Calibri" w:eastAsia="Calibri" w:hAnsi="Calibri"/>
                <w:b w:val="false"/>
                <w:bCs w:val="false"/>
                <w:i w:val="false"/>
                <w:iCs w:val="false"/>
                <w:color w:val="1A1A1A"/>
                <w:sz w:val="20"/>
                <w:szCs w:val="20"/>
              </w:rPr>
              <w:t xml:space="preserve"/>
            </w:r>
          </w:p>
        </w:tc>
        <w:tc>
          <w:tcPr>
            <w:tcW w:type="dxa" w:w="4413"/>
            <w:tcBorders>
              <w:top w:val="single" w:color="1A365D" w:sz="5"/>
              <w:left w:val="single" w:color="1A365D" w:sz="5"/>
              <w:bottom w:val="single" w:color="1A365D" w:sz="5"/>
              <w:right w:val="single" w:color="1A365D" w:sz="5"/>
            </w:tcBorders>
            <w:shd w:fill="EBF4FF" w:val="clear"/>
            <w:tcMar>
              <w:top w:type="dxa" w:w="160"/>
              <w:left w:type="dxa" w:w="220"/>
              <w:bottom w:type="dxa" w:w="180"/>
              <w:right w:type="dxa" w:w="200"/>
            </w:tcMar>
          </w:tcPr>
          <w:p>
            <w:pPr>
              <w:spacing w:after="40" w:before="0"/>
            </w:pPr>
            <w:r>
              <w:rPr>
                <w:rFonts w:ascii="Calibri" w:cs="Calibri" w:eastAsia="Calibri" w:hAnsi="Calibri"/>
                <w:b/>
                <w:bCs/>
                <w:i w:val="false"/>
                <w:iCs w:val="false"/>
                <w:color w:val="1A365D"/>
                <w:sz w:val="22"/>
                <w:szCs w:val="22"/>
              </w:rPr>
              <w:t xml:space="preserve">L'Associée</w:t>
            </w:r>
          </w:p>
          <w:p>
            <w:pPr>
              <w:spacing w:after="60" w:before="0"/>
            </w:pPr>
            <w:r>
              <w:rPr>
                <w:rFonts w:ascii="Calibri" w:cs="Calibri" w:eastAsia="Calibri" w:hAnsi="Calibri"/>
                <w:b w:val="false"/>
                <w:bCs w:val="false"/>
                <w:i w:val="false"/>
                <w:iCs w:val="false"/>
                <w:color w:val="718096"/>
                <w:sz w:val="18"/>
                <w:szCs w:val="18"/>
              </w:rPr>
              <w:t xml:space="preserve">Co-fondatrice · CMO / Directrice Commerciale</w:t>
            </w:r>
          </w:p>
          <w:p>
            <w:pPr>
              <w:pStyle w:val="ListParagraph"/>
              <w:numPr>
                <w:ilvl w:val="0"/>
                <w:numId w:val="2"/>
              </w:numPr>
              <w:spacing w:after="30" w:before="30"/>
            </w:pPr>
            <w:r>
              <w:rPr>
                <w:rFonts w:ascii="Calibri" w:cs="Calibri" w:eastAsia="Calibri" w:hAnsi="Calibri"/>
                <w:b w:val="false"/>
                <w:bCs w:val="false"/>
                <w:i w:val="false"/>
                <w:iCs w:val="false"/>
                <w:color w:val="2D3748"/>
                <w:sz w:val="18"/>
                <w:szCs w:val="18"/>
              </w:rPr>
              <w:t xml:space="preserve">Expérience prouvée en commercialisation de SaaS</w:t>
            </w:r>
          </w:p>
          <w:p>
            <w:pPr>
              <w:pStyle w:val="ListParagraph"/>
              <w:numPr>
                <w:ilvl w:val="0"/>
                <w:numId w:val="2"/>
              </w:numPr>
              <w:spacing w:after="30" w:before="30"/>
            </w:pPr>
            <w:r>
              <w:rPr>
                <w:rFonts w:ascii="Calibri" w:cs="Calibri" w:eastAsia="Calibri" w:hAnsi="Calibri"/>
                <w:b w:val="false"/>
                <w:bCs w:val="false"/>
                <w:i w:val="false"/>
                <w:iCs w:val="false"/>
                <w:color w:val="2D3748"/>
                <w:sz w:val="18"/>
                <w:szCs w:val="18"/>
              </w:rPr>
              <w:t xml:space="preserve">Maîtrise des canaux d'acquisition digitaux</w:t>
            </w:r>
          </w:p>
          <w:p>
            <w:pPr>
              <w:pStyle w:val="ListParagraph"/>
              <w:numPr>
                <w:ilvl w:val="0"/>
                <w:numId w:val="2"/>
              </w:numPr>
              <w:spacing w:after="30" w:before="30"/>
            </w:pPr>
            <w:r>
              <w:rPr>
                <w:rFonts w:ascii="Calibri" w:cs="Calibri" w:eastAsia="Calibri" w:hAnsi="Calibri"/>
                <w:b w:val="false"/>
                <w:bCs w:val="false"/>
                <w:i w:val="false"/>
                <w:iCs w:val="false"/>
                <w:color w:val="2D3748"/>
                <w:sz w:val="18"/>
                <w:szCs w:val="18"/>
              </w:rPr>
              <w:t xml:space="preserve">Connaissance du marché SaaS B2B francophone</w:t>
            </w:r>
          </w:p>
          <w:p>
            <w:pPr>
              <w:pStyle w:val="ListParagraph"/>
              <w:numPr>
                <w:ilvl w:val="0"/>
                <w:numId w:val="2"/>
              </w:numPr>
              <w:spacing w:after="30" w:before="30"/>
            </w:pPr>
            <w:r>
              <w:rPr>
                <w:rFonts w:ascii="Calibri" w:cs="Calibri" w:eastAsia="Calibri" w:hAnsi="Calibri"/>
                <w:b w:val="false"/>
                <w:bCs w:val="false"/>
                <w:i w:val="false"/>
                <w:iCs w:val="false"/>
                <w:color w:val="2D3748"/>
                <w:sz w:val="18"/>
                <w:szCs w:val="18"/>
              </w:rPr>
              <w:t xml:space="preserve">Développement produit via Claude Code (IA)</w:t>
            </w:r>
          </w:p>
        </w:tc>
      </w:tr>
    </w:tbl>
    <w:p>
      <w:pPr>
        <w:spacing w:after="10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7.2  Organisation du travail — Side Hustle en poste</w:t>
      </w:r>
    </w:p>
    <w:p>
      <w:pPr>
        <w:spacing w:after="80" w:before="60" w:line="300"/>
        <w:jc w:val="left"/>
      </w:pPr>
      <w:r>
        <w:rPr>
          <w:rFonts w:ascii="Calibri" w:cs="Calibri" w:eastAsia="Calibri" w:hAnsi="Calibri"/>
          <w:b w:val="false"/>
          <w:bCs w:val="false"/>
          <w:i w:val="false"/>
          <w:iCs w:val="false"/>
          <w:color w:val="2D3748"/>
          <w:sz w:val="20"/>
          <w:szCs w:val="20"/>
        </w:rPr>
        <w:t xml:space="preserve">Le projet est conçu pour être développé en parallèle de nos postes actuels. Le modèle de travail est structuré et soutenable.</w:t>
      </w:r>
    </w:p>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Créneau</w:t>
            </w:r>
          </w:p>
        </w:tc>
        <w:tc>
          <w:tcPr>
            <w:tcW w:type="dxa" w:w="33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Chaymae</w:t>
            </w:r>
          </w:p>
        </w:tc>
        <w:tc>
          <w:tcPr>
            <w:tcW w:type="dxa" w:w="3526"/>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L'Associée</w:t>
            </w:r>
          </w:p>
        </w:tc>
      </w:tr>
      <w:tr>
        <w:tc>
          <w:tcPr>
            <w:tcW w:type="dxa" w:w="2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Lundi–Mardi soir</w:t>
            </w:r>
          </w:p>
        </w:tc>
        <w:tc>
          <w:tcPr>
            <w:tcW w:type="dxa" w:w="33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2h développement produit (backend, modèles)</w:t>
            </w:r>
          </w:p>
        </w:tc>
        <w:tc>
          <w:tcPr>
            <w:tcW w:type="dxa" w:w="35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1h marketing (contenu, réseaux, prospects)</w:t>
            </w:r>
          </w:p>
        </w:tc>
      </w:tr>
      <w:tr>
        <w:tc>
          <w:tcPr>
            <w:tcW w:type="dxa" w:w="2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Mercredi</w:t>
            </w:r>
          </w:p>
        </w:tc>
        <w:tc>
          <w:tcPr>
            <w:tcW w:type="dxa" w:w="33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Sync 30 min — état d'avancement et décisions</w:t>
            </w:r>
          </w:p>
        </w:tc>
        <w:tc>
          <w:tcPr>
            <w:tcW w:type="dxa" w:w="35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Sync 30 min — pipeline commercial et métriques</w:t>
            </w:r>
          </w:p>
        </w:tc>
      </w:tr>
      <w:tr>
        <w:tc>
          <w:tcPr>
            <w:tcW w:type="dxa" w:w="2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Jeudi–Vendredi</w:t>
            </w:r>
          </w:p>
        </w:tc>
        <w:tc>
          <w:tcPr>
            <w:tcW w:type="dxa" w:w="33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2h intégration et tests des nouvelles fonctions</w:t>
            </w:r>
          </w:p>
        </w:tc>
        <w:tc>
          <w:tcPr>
            <w:tcW w:type="dxa" w:w="35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1h acquisition (outreach, suivi des leads)</w:t>
            </w:r>
          </w:p>
        </w:tc>
      </w:tr>
      <w:tr>
        <w:tc>
          <w:tcPr>
            <w:tcW w:type="dxa" w:w="2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Samedi matin</w:t>
            </w:r>
          </w:p>
        </w:tc>
        <w:tc>
          <w:tcPr>
            <w:tcW w:type="dxa" w:w="33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Bloc focus 3–4h — feature principale de la semaine</w:t>
            </w:r>
          </w:p>
        </w:tc>
        <w:tc>
          <w:tcPr>
            <w:tcW w:type="dxa" w:w="35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Bloc focus 2–3h — marketing, landing page, ads</w:t>
            </w:r>
          </w:p>
        </w:tc>
      </w:tr>
      <w:tr>
        <w:tc>
          <w:tcPr>
            <w:tcW w:type="dxa" w:w="2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Dimanche</w:t>
            </w:r>
          </w:p>
        </w:tc>
        <w:tc>
          <w:tcPr>
            <w:tcW w:type="dxa" w:w="33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Repos — pas de travail projet ce jour</w:t>
            </w:r>
          </w:p>
        </w:tc>
        <w:tc>
          <w:tcPr>
            <w:tcW w:type="dxa" w:w="35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Repos — durabilité &gt; intensité</w:t>
            </w:r>
          </w:p>
        </w:tc>
      </w:tr>
    </w:tbl>
    <w:p>
      <w:r>
        <w:br w:type="page"/>
      </w:r>
    </w:p>
    <w:p>
      <w:pPr>
        <w:pBdr>
          <w:bottom w:val="single" w:color="0D6E5A" w:sz="8" w:space="4"/>
        </w:pBdr>
        <w:spacing w:after="40" w:before="320"/>
      </w:pPr>
      <w:r>
        <w:rPr>
          <w:rFonts w:ascii="Calibri" w:cs="Calibri" w:eastAsia="Calibri" w:hAnsi="Calibri"/>
          <w:b/>
          <w:bCs/>
          <w:i w:val="false"/>
          <w:iCs w:val="false"/>
          <w:color w:val="1A9070"/>
          <w:sz w:val="26"/>
          <w:szCs w:val="26"/>
        </w:rPr>
        <w:t xml:space="preserve">08  </w:t>
      </w:r>
      <w:r>
        <w:rPr>
          <w:rFonts w:ascii="Calibri" w:cs="Calibri" w:eastAsia="Calibri" w:hAnsi="Calibri"/>
          <w:b/>
          <w:bCs/>
          <w:i w:val="false"/>
          <w:iCs w:val="false"/>
          <w:color w:val="1A1A1A"/>
          <w:sz w:val="26"/>
          <w:szCs w:val="26"/>
        </w:rPr>
        <w:t xml:space="preserve">Plan d'Exécution — 12 Semaines</w:t>
      </w:r>
    </w:p>
    <w:p>
      <w:pPr>
        <w:spacing w:after="80" w:before="60" w:line="300"/>
        <w:jc w:val="left"/>
      </w:pPr>
      <w:r>
        <w:rPr>
          <w:rFonts w:ascii="Calibri" w:cs="Calibri" w:eastAsia="Calibri" w:hAnsi="Calibri"/>
          <w:b w:val="false"/>
          <w:bCs w:val="false"/>
          <w:i w:val="false"/>
          <w:iCs w:val="false"/>
          <w:color w:val="2D3748"/>
          <w:sz w:val="20"/>
          <w:szCs w:val="20"/>
        </w:rPr>
        <w:t xml:space="preserve">Le plan est séquencé en 4 phases. Chaque phase a un objectif mesurable et un critère de passage à la phase suivante.</w:t>
      </w:r>
    </w:p>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3"/>
              <w:left w:val="single" w:color="0D6E5A" w:sz="20"/>
              <w:bottom w:val="single" w:color="E2E8F0" w:sz="3"/>
              <w:right w:val="single" w:color="E2E8F0" w:sz="3"/>
            </w:tcBorders>
            <w:shd w:fill="E6F4F0" w:val="clear"/>
            <w:tcMar>
              <w:top w:type="dxa" w:w="160"/>
              <w:left w:type="dxa" w:w="260"/>
              <w:bottom w:type="dxa" w:w="180"/>
              <w:right w:type="dxa" w:w="200"/>
            </w:tcMar>
          </w:tcPr>
          <w:p>
            <w:pPr>
              <w:spacing w:after="40" w:before="0"/>
            </w:pPr>
            <w:r>
              <w:rPr>
                <w:rFonts w:ascii="Calibri" w:cs="Calibri" w:eastAsia="Calibri" w:hAnsi="Calibri"/>
                <w:b/>
                <w:bCs/>
                <w:i w:val="false"/>
                <w:iCs w:val="false"/>
                <w:color w:val="0D6E5A"/>
                <w:sz w:val="17"/>
                <w:szCs w:val="17"/>
              </w:rPr>
              <w:t xml:space="preserve">ÉTAPE 1</w:t>
            </w:r>
            <w:r>
              <w:rPr>
                <w:rFonts w:ascii="Calibri" w:cs="Calibri" w:eastAsia="Calibri" w:hAnsi="Calibri"/>
                <w:b w:val="false"/>
                <w:bCs w:val="false"/>
                <w:i/>
                <w:iCs/>
                <w:color w:val="718096"/>
                <w:sz w:val="17"/>
                <w:szCs w:val="17"/>
              </w:rPr>
              <w:t xml:space="preserve">   Semaines 1–2</w:t>
            </w:r>
          </w:p>
          <w:p>
            <w:pPr>
              <w:spacing w:after="60" w:before="0"/>
            </w:pPr>
            <w:r>
              <w:rPr>
                <w:rFonts w:ascii="Calibri" w:cs="Calibri" w:eastAsia="Calibri" w:hAnsi="Calibri"/>
                <w:b/>
                <w:bCs/>
                <w:i w:val="false"/>
                <w:iCs w:val="false"/>
                <w:color w:val="1A1A1A"/>
                <w:sz w:val="21"/>
                <w:szCs w:val="21"/>
              </w:rPr>
              <w:t xml:space="preserve">Validation marché — zéro code</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Chaymae identifie 5 contacts réseau : DAF, directeurs commerciaux, DG de PMEs marocaines</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L'Associée rédige le message de validation (3 lignes) et l'envoie via LinkedIn</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Critère de passage : 3 réponses positives sur 5 — sinon on ajuste le message, pas le produit</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En parallèle : réserver les noms de domaine et créer les comptes Stripe + Supabase</w:t>
            </w:r>
          </w:p>
        </w:tc>
      </w:tr>
    </w:tbl>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3"/>
              <w:left w:val="single" w:color="1A365D" w:sz="20"/>
              <w:bottom w:val="single" w:color="E2E8F0" w:sz="3"/>
              <w:right w:val="single" w:color="E2E8F0" w:sz="3"/>
            </w:tcBorders>
            <w:shd w:fill="EBF4FF" w:val="clear"/>
            <w:tcMar>
              <w:top w:type="dxa" w:w="160"/>
              <w:left w:type="dxa" w:w="260"/>
              <w:bottom w:type="dxa" w:w="180"/>
              <w:right w:type="dxa" w:w="200"/>
            </w:tcMar>
          </w:tcPr>
          <w:p>
            <w:pPr>
              <w:spacing w:after="40" w:before="0"/>
            </w:pPr>
            <w:r>
              <w:rPr>
                <w:rFonts w:ascii="Calibri" w:cs="Calibri" w:eastAsia="Calibri" w:hAnsi="Calibri"/>
                <w:b/>
                <w:bCs/>
                <w:i w:val="false"/>
                <w:iCs w:val="false"/>
                <w:color w:val="1A365D"/>
                <w:sz w:val="17"/>
                <w:szCs w:val="17"/>
              </w:rPr>
              <w:t xml:space="preserve">ÉTAPE 2</w:t>
            </w:r>
            <w:r>
              <w:rPr>
                <w:rFonts w:ascii="Calibri" w:cs="Calibri" w:eastAsia="Calibri" w:hAnsi="Calibri"/>
                <w:b w:val="false"/>
                <w:bCs w:val="false"/>
                <w:i/>
                <w:iCs/>
                <w:color w:val="718096"/>
                <w:sz w:val="17"/>
                <w:szCs w:val="17"/>
              </w:rPr>
              <w:t xml:space="preserve">   Semaines 3–6</w:t>
            </w:r>
          </w:p>
          <w:p>
            <w:pPr>
              <w:spacing w:after="60" w:before="0"/>
            </w:pPr>
            <w:r>
              <w:rPr>
                <w:rFonts w:ascii="Calibri" w:cs="Calibri" w:eastAsia="Calibri" w:hAnsi="Calibri"/>
                <w:b/>
                <w:bCs/>
                <w:i w:val="false"/>
                <w:iCs w:val="false"/>
                <w:color w:val="1A1A1A"/>
                <w:sz w:val="21"/>
                <w:szCs w:val="21"/>
              </w:rPr>
              <w:t xml:space="preserve">Construction du MVP avec Claude Code</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L'Associée décrit l'interface à Claude Code : upload données → traitement → affichage dashboard</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Chaymae configure les premiers modèles analytiques et les connecteurs (Excel, Google Sheets)</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Intégration Claude API pour la génération des rapports narratifs en français</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Objectif : version beta fonctionnelle avec 1 type de données en 4 semaines</w:t>
            </w:r>
          </w:p>
        </w:tc>
      </w:tr>
    </w:tbl>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3"/>
              <w:left w:val="single" w:color="B7791F" w:sz="20"/>
              <w:bottom w:val="single" w:color="E2E8F0" w:sz="3"/>
              <w:right w:val="single" w:color="E2E8F0" w:sz="3"/>
            </w:tcBorders>
            <w:shd w:fill="FFFBEB" w:val="clear"/>
            <w:tcMar>
              <w:top w:type="dxa" w:w="160"/>
              <w:left w:type="dxa" w:w="260"/>
              <w:bottom w:type="dxa" w:w="180"/>
              <w:right w:type="dxa" w:w="200"/>
            </w:tcMar>
          </w:tcPr>
          <w:p>
            <w:pPr>
              <w:spacing w:after="40" w:before="0"/>
            </w:pPr>
            <w:r>
              <w:rPr>
                <w:rFonts w:ascii="Calibri" w:cs="Calibri" w:eastAsia="Calibri" w:hAnsi="Calibri"/>
                <w:b/>
                <w:bCs/>
                <w:i w:val="false"/>
                <w:iCs w:val="false"/>
                <w:color w:val="B7791F"/>
                <w:sz w:val="17"/>
                <w:szCs w:val="17"/>
              </w:rPr>
              <w:t xml:space="preserve">ÉTAPE 3</w:t>
            </w:r>
            <w:r>
              <w:rPr>
                <w:rFonts w:ascii="Calibri" w:cs="Calibri" w:eastAsia="Calibri" w:hAnsi="Calibri"/>
                <w:b w:val="false"/>
                <w:bCs w:val="false"/>
                <w:i/>
                <w:iCs/>
                <w:color w:val="718096"/>
                <w:sz w:val="17"/>
                <w:szCs w:val="17"/>
              </w:rPr>
              <w:t xml:space="preserve">   Semaines 7–10</w:t>
            </w:r>
          </w:p>
          <w:p>
            <w:pPr>
              <w:spacing w:after="60" w:before="0"/>
            </w:pPr>
            <w:r>
              <w:rPr>
                <w:rFonts w:ascii="Calibri" w:cs="Calibri" w:eastAsia="Calibri" w:hAnsi="Calibri"/>
                <w:b/>
                <w:bCs/>
                <w:i w:val="false"/>
                <w:iCs w:val="false"/>
                <w:color w:val="1A1A1A"/>
                <w:sz w:val="21"/>
                <w:szCs w:val="21"/>
              </w:rPr>
              <w:t xml:space="preserve">Beta fermée avec les 5 prospects validés</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Chaque prospect teste avec ses vraies données — Chaymae personnalise chaque dashboard</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Collecte structurée des retours : ce qui manque, ce qui crée de la valeur immédiate</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Ajustements rapides du produit en fonction des retours terrain</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Objectif : au moins 3 personnes sur 5 prêtes à payer 990 MAD/mois</w:t>
            </w:r>
          </w:p>
        </w:tc>
      </w:tr>
    </w:tbl>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3"/>
              <w:left w:val="single" w:color="276749" w:sz="20"/>
              <w:bottom w:val="single" w:color="E2E8F0" w:sz="3"/>
              <w:right w:val="single" w:color="E2E8F0" w:sz="3"/>
            </w:tcBorders>
            <w:shd w:fill="F0FFF4" w:val="clear"/>
            <w:tcMar>
              <w:top w:type="dxa" w:w="160"/>
              <w:left w:type="dxa" w:w="260"/>
              <w:bottom w:type="dxa" w:w="180"/>
              <w:right w:type="dxa" w:w="200"/>
            </w:tcMar>
          </w:tcPr>
          <w:p>
            <w:pPr>
              <w:spacing w:after="40" w:before="0"/>
            </w:pPr>
            <w:r>
              <w:rPr>
                <w:rFonts w:ascii="Calibri" w:cs="Calibri" w:eastAsia="Calibri" w:hAnsi="Calibri"/>
                <w:b/>
                <w:bCs/>
                <w:i w:val="false"/>
                <w:iCs w:val="false"/>
                <w:color w:val="276749"/>
                <w:sz w:val="17"/>
                <w:szCs w:val="17"/>
              </w:rPr>
              <w:t xml:space="preserve">ÉTAPE 4</w:t>
            </w:r>
            <w:r>
              <w:rPr>
                <w:rFonts w:ascii="Calibri" w:cs="Calibri" w:eastAsia="Calibri" w:hAnsi="Calibri"/>
                <w:b w:val="false"/>
                <w:bCs w:val="false"/>
                <w:i/>
                <w:iCs/>
                <w:color w:val="718096"/>
                <w:sz w:val="17"/>
                <w:szCs w:val="17"/>
              </w:rPr>
              <w:t xml:space="preserve">   Semaines 11–12</w:t>
            </w:r>
          </w:p>
          <w:p>
            <w:pPr>
              <w:spacing w:after="60" w:before="0"/>
            </w:pPr>
            <w:r>
              <w:rPr>
                <w:rFonts w:ascii="Calibri" w:cs="Calibri" w:eastAsia="Calibri" w:hAnsi="Calibri"/>
                <w:b/>
                <w:bCs/>
                <w:i w:val="false"/>
                <w:iCs w:val="false"/>
                <w:color w:val="1A1A1A"/>
                <w:sz w:val="21"/>
                <w:szCs w:val="21"/>
              </w:rPr>
              <w:t xml:space="preserve">Lancement public et premiers revenus</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Mise en ligne de la landing page avec témoignages des testeurs et démo interactive</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Lancement des campagnes LinkedIn Ads et Meta Ads ciblées (budget test : 2 000 MAD)</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Activation de la stratégie de contenu organique sur LinkedIn et SEO</w:t>
            </w:r>
          </w:p>
          <w:p>
            <w:pPr>
              <w:pStyle w:val="ListParagraph"/>
              <w:numPr>
                <w:ilvl w:val="0"/>
                <w:numId w:val="3"/>
              </w:numPr>
              <w:spacing w:after="30" w:before="30"/>
            </w:pPr>
            <w:r>
              <w:rPr>
                <w:rFonts w:ascii="Calibri" w:cs="Calibri" w:eastAsia="Calibri" w:hAnsi="Calibri"/>
                <w:b w:val="false"/>
                <w:bCs w:val="false"/>
                <w:i w:val="false"/>
                <w:iCs w:val="false"/>
                <w:color w:val="2D3748"/>
                <w:sz w:val="19"/>
                <w:szCs w:val="19"/>
              </w:rPr>
              <w:t xml:space="preserve">Objectif : 5 clients payants à 990 MAD = 4 950 MAD MRR dès la semaine 12</w:t>
            </w:r>
          </w:p>
        </w:tc>
      </w:tr>
    </w:tbl>
    <w:p>
      <w:r>
        <w:br w:type="page"/>
      </w:r>
    </w:p>
    <w:p>
      <w:pPr>
        <w:pBdr>
          <w:bottom w:val="single" w:color="0D6E5A" w:sz="8" w:space="4"/>
        </w:pBdr>
        <w:spacing w:after="40" w:before="320"/>
      </w:pPr>
      <w:r>
        <w:rPr>
          <w:rFonts w:ascii="Calibri" w:cs="Calibri" w:eastAsia="Calibri" w:hAnsi="Calibri"/>
          <w:b/>
          <w:bCs/>
          <w:i w:val="false"/>
          <w:iCs w:val="false"/>
          <w:color w:val="1A9070"/>
          <w:sz w:val="26"/>
          <w:szCs w:val="26"/>
        </w:rPr>
        <w:t xml:space="preserve">09  </w:t>
      </w:r>
      <w:r>
        <w:rPr>
          <w:rFonts w:ascii="Calibri" w:cs="Calibri" w:eastAsia="Calibri" w:hAnsi="Calibri"/>
          <w:b/>
          <w:bCs/>
          <w:i w:val="false"/>
          <w:iCs w:val="false"/>
          <w:color w:val="1A1A1A"/>
          <w:sz w:val="26"/>
          <w:szCs w:val="26"/>
        </w:rPr>
        <w:t xml:space="preserve">Analyse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826"/>
      </w:tblGrid>
      <w:tr>
        <w:trPr>
          <w:tblHeader/>
        </w:trPr>
        <w:tc>
          <w:tcPr>
            <w:tcW w:type="dxa" w:w="28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Risque</w:t>
            </w:r>
          </w:p>
        </w:tc>
        <w:tc>
          <w:tcPr>
            <w:tcW w:type="dxa" w:w="12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Probabilité</w:t>
            </w:r>
          </w:p>
        </w:tc>
        <w:tc>
          <w:tcPr>
            <w:tcW w:type="dxa" w:w="1200"/>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Impact</w:t>
            </w:r>
          </w:p>
        </w:tc>
        <w:tc>
          <w:tcPr>
            <w:tcW w:type="dxa" w:w="3826"/>
            <w:tcBorders>
              <w:top w:val="single" w:color="0D6E5A" w:sz="6"/>
              <w:left w:val="single" w:color="0D6E5A" w:sz="6"/>
              <w:bottom w:val="single" w:color="0D6E5A" w:sz="6"/>
              <w:right w:val="single" w:color="0D6E5A" w:sz="6"/>
            </w:tcBorders>
            <w:shd w:fill="0D6E5A" w:val="clear"/>
            <w:tcMar>
              <w:top w:type="dxa" w:w="100"/>
              <w:left w:type="dxa" w:w="140"/>
              <w:bottom w:type="dxa" w:w="100"/>
              <w:right w:type="dxa" w:w="100"/>
            </w:tcMar>
          </w:tcPr>
          <w:p>
            <w:pPr>
              <w:spacing w:after="0" w:before="0"/>
            </w:pPr>
            <w:r>
              <w:rPr>
                <w:rFonts w:ascii="Calibri" w:cs="Calibri" w:eastAsia="Calibri" w:hAnsi="Calibri"/>
                <w:b/>
                <w:bCs/>
                <w:i w:val="false"/>
                <w:iCs w:val="false"/>
                <w:color w:val="FFFFFF"/>
                <w:sz w:val="19"/>
                <w:szCs w:val="19"/>
              </w:rPr>
              <w:t xml:space="preserve">Mitigation</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Propriété intellectuelle employeurs</w:t>
            </w:r>
          </w:p>
        </w:tc>
        <w:tc>
          <w:tcPr>
            <w:tcW w:type="dxa" w:w="1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Faible</w:t>
            </w:r>
          </w:p>
        </w:tc>
        <w:tc>
          <w:tcPr>
            <w:tcW w:type="dxa" w:w="1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Élevé</w:t>
            </w:r>
          </w:p>
        </w:tc>
        <w:tc>
          <w:tcPr>
            <w:tcW w:type="dxa" w:w="38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Créer 100% des assets from scratch, avec données fictives</w:t>
            </w:r>
          </w:p>
        </w:tc>
      </w:tr>
      <w:tr>
        <w:tc>
          <w:tcPr>
            <w:tcW w:type="dxa" w:w="28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Manque de temps / burnout</w:t>
            </w:r>
          </w:p>
        </w:tc>
        <w:tc>
          <w:tcPr>
            <w:tcW w:type="dxa" w:w="1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Moyen</w:t>
            </w:r>
          </w:p>
        </w:tc>
        <w:tc>
          <w:tcPr>
            <w:tcW w:type="dxa" w:w="1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Élevé</w:t>
            </w:r>
          </w:p>
        </w:tc>
        <w:tc>
          <w:tcPr>
            <w:tcW w:type="dxa" w:w="38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Planning fixe, dimanche off, 10–12h/sem max chacune</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Cycle de vente B2B long</w:t>
            </w:r>
          </w:p>
        </w:tc>
        <w:tc>
          <w:tcPr>
            <w:tcW w:type="dxa" w:w="1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Moyen</w:t>
            </w:r>
          </w:p>
        </w:tc>
        <w:tc>
          <w:tcPr>
            <w:tcW w:type="dxa" w:w="1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Moyen</w:t>
            </w:r>
          </w:p>
        </w:tc>
        <w:tc>
          <w:tcPr>
            <w:tcW w:type="dxa" w:w="38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Démarrer avec réseau personnel — 0 cold outreach au début</w:t>
            </w:r>
          </w:p>
        </w:tc>
      </w:tr>
      <w:tr>
        <w:tc>
          <w:tcPr>
            <w:tcW w:type="dxa" w:w="28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Concurrent local qui copie</w:t>
            </w:r>
          </w:p>
        </w:tc>
        <w:tc>
          <w:tcPr>
            <w:tcW w:type="dxa" w:w="1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Faible</w:t>
            </w:r>
          </w:p>
        </w:tc>
        <w:tc>
          <w:tcPr>
            <w:tcW w:type="dxa" w:w="1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Moyen</w:t>
            </w:r>
          </w:p>
        </w:tc>
        <w:tc>
          <w:tcPr>
            <w:tcW w:type="dxa" w:w="38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L'expertise sectorielle de Chaymae est incopiable rapidement</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Adoption lente des PMEs</w:t>
            </w:r>
          </w:p>
        </w:tc>
        <w:tc>
          <w:tcPr>
            <w:tcW w:type="dxa" w:w="1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Moyen</w:t>
            </w:r>
          </w:p>
        </w:tc>
        <w:tc>
          <w:tcPr>
            <w:tcW w:type="dxa" w:w="1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Moyen</w:t>
            </w:r>
          </w:p>
        </w:tc>
        <w:tc>
          <w:tcPr>
            <w:tcW w:type="dxa" w:w="38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Démo gratuite 14 jours — le dirigeant voit la valeur avant de payer</w:t>
            </w:r>
          </w:p>
        </w:tc>
      </w:tr>
      <w:tr>
        <w:tc>
          <w:tcPr>
            <w:tcW w:type="dxa" w:w="28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Dépendance API Claude / Anthropic</w:t>
            </w:r>
          </w:p>
        </w:tc>
        <w:tc>
          <w:tcPr>
            <w:tcW w:type="dxa" w:w="1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Faible</w:t>
            </w:r>
          </w:p>
        </w:tc>
        <w:tc>
          <w:tcPr>
            <w:tcW w:type="dxa" w:w="1200"/>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Faible</w:t>
            </w:r>
          </w:p>
        </w:tc>
        <w:tc>
          <w:tcPr>
            <w:tcW w:type="dxa" w:w="3826"/>
            <w:tcBorders>
              <w:top w:val="single" w:color="E2E8F0" w:sz="3"/>
              <w:left w:val="single" w:color="E2E8F0" w:sz="3"/>
              <w:bottom w:val="single" w:color="E2E8F0" w:sz="3"/>
              <w:right w:val="single" w:color="E2E8F0" w:sz="3"/>
            </w:tcBorders>
            <w:shd w:fill="F7FFFE"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Architecture modulaire — remplacement possible par autre LLM</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Churn élevé premier trimestre</w:t>
            </w:r>
          </w:p>
        </w:tc>
        <w:tc>
          <w:tcPr>
            <w:tcW w:type="dxa" w:w="1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Moyen</w:t>
            </w:r>
          </w:p>
        </w:tc>
        <w:tc>
          <w:tcPr>
            <w:tcW w:type="dxa" w:w="1200"/>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Élevé</w:t>
            </w:r>
          </w:p>
        </w:tc>
        <w:tc>
          <w:tcPr>
            <w:tcW w:type="dxa" w:w="3826"/>
            <w:tcBorders>
              <w:top w:val="single" w:color="E2E8F0" w:sz="3"/>
              <w:left w:val="single" w:color="E2E8F0" w:sz="3"/>
              <w:bottom w:val="single" w:color="E2E8F0" w:sz="3"/>
              <w:right w:val="single" w:color="E2E8F0" w:sz="3"/>
            </w:tcBorders>
            <w:shd w:fill="FFFFFF" w:val="clear"/>
            <w:tcMar>
              <w:top w:type="dxa" w:w="90"/>
              <w:left w:type="dxa" w:w="140"/>
              <w:bottom w:type="dxa" w:w="90"/>
              <w:right w:type="dxa" w:w="100"/>
            </w:tcMar>
          </w:tcPr>
          <w:p>
            <w:pPr>
              <w:spacing w:after="0" w:before="0"/>
            </w:pPr>
            <w:r>
              <w:rPr>
                <w:rFonts w:ascii="Calibri" w:cs="Calibri" w:eastAsia="Calibri" w:hAnsi="Calibri"/>
                <w:b w:val="false"/>
                <w:bCs w:val="false"/>
                <w:i w:val="false"/>
                <w:iCs w:val="false"/>
                <w:color w:val="2D3748"/>
                <w:sz w:val="19"/>
                <w:szCs w:val="19"/>
              </w:rPr>
              <w:t xml:space="preserve">Onboarding soigné + rapport mensuel automatique = valeur récurrente</w:t>
            </w:r>
          </w:p>
        </w:tc>
      </w:tr>
    </w:tbl>
    <w:p>
      <w:pPr>
        <w:spacing w:after="100" w:before="0" w:line="276"/>
        <w:jc w:val="left"/>
      </w:pPr>
      <w:r>
        <w:rPr>
          <w:rFonts w:ascii="Calibri" w:cs="Calibri" w:eastAsia="Calibri" w:hAnsi="Calibri"/>
          <w:b w:val="false"/>
          <w:bCs w:val="false"/>
          <w:i w:val="false"/>
          <w:iCs w:val="false"/>
          <w:color w:val="1A1A1A"/>
          <w:sz w:val="20"/>
          <w:szCs w:val="20"/>
        </w:rPr>
        <w:t xml:space="preserve"/>
      </w:r>
    </w:p>
    <w:p>
      <w:pPr>
        <w:pBdr>
          <w:bottom w:val="single" w:color="0D6E5A" w:sz="8" w:space="4"/>
        </w:pBdr>
        <w:spacing w:after="40" w:before="320"/>
      </w:pPr>
      <w:r>
        <w:rPr>
          <w:rFonts w:ascii="Calibri" w:cs="Calibri" w:eastAsia="Calibri" w:hAnsi="Calibri"/>
          <w:b/>
          <w:bCs/>
          <w:i w:val="false"/>
          <w:iCs w:val="false"/>
          <w:color w:val="1A9070"/>
          <w:sz w:val="26"/>
          <w:szCs w:val="26"/>
        </w:rPr>
        <w:t xml:space="preserve">10  </w:t>
      </w:r>
      <w:r>
        <w:rPr>
          <w:rFonts w:ascii="Calibri" w:cs="Calibri" w:eastAsia="Calibri" w:hAnsi="Calibri"/>
          <w:b/>
          <w:bCs/>
          <w:i w:val="false"/>
          <w:iCs w:val="false"/>
          <w:color w:val="1A1A1A"/>
          <w:sz w:val="26"/>
          <w:szCs w:val="26"/>
        </w:rPr>
        <w:t xml:space="preserve">Vision Long Terme &amp; Feuille de Route</w:t>
      </w:r>
    </w:p>
    <w:p>
      <w:pPr>
        <w:spacing w:after="60" w:before="200"/>
      </w:pPr>
      <w:r>
        <w:rPr>
          <w:rFonts w:ascii="Calibri" w:cs="Calibri" w:eastAsia="Calibri" w:hAnsi="Calibri"/>
          <w:b/>
          <w:bCs/>
          <w:i w:val="false"/>
          <w:iCs w:val="false"/>
          <w:color w:val="0D6E5A"/>
          <w:sz w:val="22"/>
          <w:szCs w:val="22"/>
        </w:rPr>
        <w:t xml:space="preserve">10.1  Horizon 12 mois — Stabilisation</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200 clients actifs sur 3 plans — MRR &gt; 250 000 MAD</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Catalogue de 5 secteurs couverts : distribution, retail, services, agro-alimentaire, immobilier</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Équipe : les deux co-fondatrices + 1 développeur freelance + 1 chargé de support client</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Présence organique solide : 5 000+ abonnés LinkedIn, 20+ articles SEO bien positionnés</w:t>
      </w:r>
    </w:p>
    <w:p>
      <w:pPr>
        <w:spacing w:after="8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10.2  Horizon 24 mois — Expansion</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Extension vers les marchés francophones d'Afrique de l'Ouest (Sénégal, Côte d'Ivoire, Tunisie)</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Lancement d'un module 'Reporting Réglementaire' pour banques et sociétés de financement</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Partenariats avec les éditeurs d'ERP locaux (Sage Maroc, Odoo partners) pour distribution intégrée</w:t>
      </w:r>
    </w:p>
    <w:p>
      <w:pPr>
        <w:pStyle w:val="ListParagraph"/>
        <w:numPr>
          <w:ilvl w:val="0"/>
          <w:numId w:val="2"/>
        </w:numPr>
        <w:spacing w:after="40" w:before="40" w:line="276"/>
      </w:pPr>
      <w:r>
        <w:rPr>
          <w:rFonts w:ascii="Calibri" w:cs="Calibri" w:eastAsia="Calibri" w:hAnsi="Calibri"/>
          <w:b w:val="false"/>
          <w:bCs w:val="false"/>
          <w:i w:val="false"/>
          <w:iCs w:val="false"/>
          <w:color w:val="2D3748"/>
          <w:sz w:val="20"/>
          <w:szCs w:val="20"/>
        </w:rPr>
        <w:t xml:space="preserve">Envisager un tour de financement seed (500k–1M MAD) pour accélérer l'expansion Afrique</w:t>
      </w:r>
    </w:p>
    <w:p>
      <w:pPr>
        <w:spacing w:after="80" w:before="0" w:line="276"/>
        <w:jc w:val="left"/>
      </w:pPr>
      <w:r>
        <w:rPr>
          <w:rFonts w:ascii="Calibri" w:cs="Calibri" w:eastAsia="Calibri" w:hAnsi="Calibri"/>
          <w:b w:val="false"/>
          <w:bCs w:val="false"/>
          <w:i w:val="false"/>
          <w:iCs w:val="false"/>
          <w:color w:val="1A1A1A"/>
          <w:sz w:val="20"/>
          <w:szCs w:val="20"/>
        </w:rPr>
        <w:t xml:space="preserve"/>
      </w:r>
    </w:p>
    <w:p>
      <w:pPr>
        <w:spacing w:after="60" w:before="200"/>
      </w:pPr>
      <w:r>
        <w:rPr>
          <w:rFonts w:ascii="Calibri" w:cs="Calibri" w:eastAsia="Calibri" w:hAnsi="Calibri"/>
          <w:b/>
          <w:bCs/>
          <w:i w:val="false"/>
          <w:iCs w:val="false"/>
          <w:color w:val="0D6E5A"/>
          <w:sz w:val="22"/>
          <w:szCs w:val="22"/>
        </w:rPr>
        <w:t xml:space="preserve">10.3  Mission à long terme</w:t>
      </w:r>
    </w:p>
    <w:p>
      <w:pPr>
        <w:spacing w:after="6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9070" w:sz="4"/>
              <w:left w:val="single" w:color="1A9070" w:sz="18"/>
              <w:bottom w:val="single" w:color="1A9070" w:sz="4"/>
              <w:right w:val="single" w:color="1A9070" w:sz="4"/>
            </w:tcBorders>
            <w:shd w:fill="F0FAF7" w:val="clear"/>
            <w:tcMar>
              <w:top w:type="dxa" w:w="160"/>
              <w:left w:type="dxa" w:w="260"/>
              <w:bottom w:type="dxa" w:w="160"/>
              <w:right w:type="dxa" w:w="200"/>
            </w:tcMar>
          </w:tcPr>
          <w:p>
            <w:pPr>
              <w:spacing w:after="0" w:before="0"/>
              <w:jc w:val="center"/>
            </w:pPr>
            <w:r>
              <w:rPr>
                <w:rFonts w:ascii="Calibri" w:cs="Calibri" w:eastAsia="Calibri" w:hAnsi="Calibri"/>
                <w:b w:val="false"/>
                <w:bCs w:val="false"/>
                <w:i/>
                <w:iCs/>
                <w:color w:val="0D6E5A"/>
                <w:sz w:val="21"/>
                <w:szCs w:val="21"/>
              </w:rPr>
              <w:t xml:space="preserve">Démocratiser l'accès à l'intelligence décisionnelle pour les entreprises africaines — en rendant la data accessible, compréhensible et actionnable pour tout dirigeant, quelle que soit sa taille ou ses ressources.</w:t>
            </w:r>
          </w:p>
        </w:tc>
      </w:tr>
    </w:tbl>
    <w:p>
      <w:r>
        <w:br w:type="page"/>
      </w:r>
    </w:p>
    <w:p>
      <w:pPr>
        <w:pBdr>
          <w:bottom w:val="single" w:color="0D6E5A" w:sz="8" w:space="4"/>
        </w:pBdr>
        <w:spacing w:after="40" w:before="320"/>
      </w:pPr>
      <w:r>
        <w:rPr>
          <w:rFonts w:ascii="Calibri" w:cs="Calibri" w:eastAsia="Calibri" w:hAnsi="Calibri"/>
          <w:b/>
          <w:bCs/>
          <w:i w:val="false"/>
          <w:iCs w:val="false"/>
          <w:color w:val="1A9070"/>
          <w:sz w:val="26"/>
          <w:szCs w:val="26"/>
        </w:rPr>
        <w:t xml:space="preserve">11  </w:t>
      </w:r>
      <w:r>
        <w:rPr>
          <w:rFonts w:ascii="Calibri" w:cs="Calibri" w:eastAsia="Calibri" w:hAnsi="Calibri"/>
          <w:b/>
          <w:bCs/>
          <w:i w:val="false"/>
          <w:iCs w:val="false"/>
          <w:color w:val="1A1A1A"/>
          <w:sz w:val="26"/>
          <w:szCs w:val="26"/>
        </w:rPr>
        <w:t xml:space="preserve">Les 3 Actions à Lancer Cette Semaine</w:t>
      </w:r>
    </w:p>
    <w:p>
      <w:pPr>
        <w:spacing w:after="8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0D6E5A" w:sz="6"/>
              <w:left w:val="single" w:color="0D6E5A" w:sz="6"/>
              <w:bottom w:val="single" w:color="0D6E5A" w:sz="6"/>
              <w:right w:val="single" w:color="0D6E5A" w:sz="6"/>
            </w:tcBorders>
            <w:shd w:fill="E6F4F0"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0D6E5A"/>
                <w:sz w:val="22"/>
                <w:szCs w:val="22"/>
              </w:rPr>
              <w:t xml:space="preserve">Action 1</w:t>
            </w:r>
          </w:p>
          <w:p>
            <w:pPr>
              <w:spacing w:after="0" w:before="0"/>
              <w:jc w:val="center"/>
            </w:pPr>
            <w:r>
              <w:rPr>
                <w:rFonts w:ascii="Calibri" w:cs="Calibri" w:eastAsia="Calibri" w:hAnsi="Calibri"/>
                <w:b w:val="false"/>
                <w:bCs w:val="false"/>
                <w:i w:val="false"/>
                <w:iCs w:val="false"/>
                <w:color w:val="718096"/>
                <w:sz w:val="17"/>
                <w:szCs w:val="17"/>
              </w:rPr>
              <w:t xml:space="preserve">Chaymae identifie 5 contacts réseau à contacter</w:t>
            </w:r>
          </w:p>
        </w:tc>
        <w:tc>
          <w:tcPr>
            <w:tcW w:type="dxa" w:w="3008"/>
            <w:tcBorders>
              <w:top w:val="single" w:color="1A365D" w:sz="6"/>
              <w:left w:val="single" w:color="1A365D" w:sz="6"/>
              <w:bottom w:val="single" w:color="1A365D" w:sz="6"/>
              <w:right w:val="single" w:color="1A365D" w:sz="6"/>
            </w:tcBorders>
            <w:shd w:fill="EBF4FF"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1A365D"/>
                <w:sz w:val="22"/>
                <w:szCs w:val="22"/>
              </w:rPr>
              <w:t xml:space="preserve">Action 2</w:t>
            </w:r>
          </w:p>
          <w:p>
            <w:pPr>
              <w:spacing w:after="0" w:before="0"/>
              <w:jc w:val="center"/>
            </w:pPr>
            <w:r>
              <w:rPr>
                <w:rFonts w:ascii="Calibri" w:cs="Calibri" w:eastAsia="Calibri" w:hAnsi="Calibri"/>
                <w:b w:val="false"/>
                <w:bCs w:val="false"/>
                <w:i w:val="false"/>
                <w:iCs w:val="false"/>
                <w:color w:val="718096"/>
                <w:sz w:val="17"/>
                <w:szCs w:val="17"/>
              </w:rPr>
              <w:t xml:space="preserve">L'Associée rédige le message de validation LinkedIn</w:t>
            </w:r>
          </w:p>
        </w:tc>
        <w:tc>
          <w:tcPr>
            <w:tcW w:type="dxa" w:w="3008"/>
            <w:tcBorders>
              <w:top w:val="single" w:color="B7791F" w:sz="6"/>
              <w:left w:val="single" w:color="B7791F" w:sz="6"/>
              <w:bottom w:val="single" w:color="B7791F" w:sz="6"/>
              <w:right w:val="single" w:color="B7791F" w:sz="6"/>
            </w:tcBorders>
            <w:shd w:fill="FFFBEB" w:val="clear"/>
            <w:tcMar>
              <w:top w:type="dxa" w:w="160"/>
              <w:left w:type="dxa" w:w="180"/>
              <w:bottom w:type="dxa" w:w="160"/>
              <w:right w:type="dxa" w:w="160"/>
            </w:tcMar>
            <w:vAlign w:val="center"/>
          </w:tcPr>
          <w:p>
            <w:pPr>
              <w:spacing w:after="30" w:before="0"/>
              <w:jc w:val="center"/>
            </w:pPr>
            <w:r>
              <w:rPr>
                <w:rFonts w:ascii="Calibri" w:cs="Calibri" w:eastAsia="Calibri" w:hAnsi="Calibri"/>
                <w:b/>
                <w:bCs/>
                <w:i w:val="false"/>
                <w:iCs w:val="false"/>
                <w:color w:val="B7791F"/>
                <w:sz w:val="22"/>
                <w:szCs w:val="22"/>
              </w:rPr>
              <w:t xml:space="preserve">Action 3</w:t>
            </w:r>
          </w:p>
          <w:p>
            <w:pPr>
              <w:spacing w:after="0" w:before="0"/>
              <w:jc w:val="center"/>
            </w:pPr>
            <w:r>
              <w:rPr>
                <w:rFonts w:ascii="Calibri" w:cs="Calibri" w:eastAsia="Calibri" w:hAnsi="Calibri"/>
                <w:b w:val="false"/>
                <w:bCs w:val="false"/>
                <w:i w:val="false"/>
                <w:iCs w:val="false"/>
                <w:color w:val="718096"/>
                <w:sz w:val="17"/>
                <w:szCs w:val="17"/>
              </w:rPr>
              <w:t xml:space="preserve">On attend 3 oui. Ensuite seulement, on construit.</w:t>
            </w:r>
          </w:p>
        </w:tc>
      </w:tr>
    </w:tbl>
    <w:p>
      <w:pPr>
        <w:spacing w:after="120" w:before="0" w:line="276"/>
        <w:jc w:val="left"/>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5A" w:sz="4"/>
              <w:left w:val="single" w:color="0D6E5A" w:sz="18"/>
              <w:bottom w:val="single" w:color="0D6E5A" w:sz="4"/>
              <w:right w:val="single" w:color="0D6E5A" w:sz="4"/>
            </w:tcBorders>
            <w:shd w:fill="E6F4F0" w:val="clear"/>
            <w:tcMar>
              <w:top w:type="dxa" w:w="160"/>
              <w:left w:type="dxa" w:w="260"/>
              <w:bottom w:type="dxa" w:w="160"/>
              <w:right w:type="dxa" w:w="200"/>
            </w:tcMar>
          </w:tcPr>
          <w:p>
            <w:pPr>
              <w:spacing w:after="50" w:before="0"/>
            </w:pPr>
            <w:r>
              <w:rPr>
                <w:rFonts w:ascii="Calibri" w:cs="Calibri" w:eastAsia="Calibri" w:hAnsi="Calibri"/>
                <w:b/>
                <w:bCs/>
                <w:i w:val="false"/>
                <w:iCs w:val="false"/>
                <w:color w:val="0D6E5A"/>
                <w:sz w:val="20"/>
                <w:szCs w:val="20"/>
              </w:rPr>
              <w:t xml:space="preserve">Le principe directeur</w:t>
            </w:r>
          </w:p>
          <w:p>
            <w:pPr>
              <w:spacing w:after="0" w:before="0"/>
            </w:pPr>
            <w:r>
              <w:rPr>
                <w:rFonts w:ascii="Calibri" w:cs="Calibri" w:eastAsia="Calibri" w:hAnsi="Calibri"/>
                <w:b w:val="false"/>
                <w:bCs w:val="false"/>
                <w:i/>
                <w:iCs/>
                <w:color w:val="2D3748"/>
                <w:sz w:val="20"/>
                <w:szCs w:val="20"/>
              </w:rPr>
              <w:t xml:space="preserve">Valider avant de construire. Construire avant de scaler. Scaler ce qui fonctionne. Ne jamais dépenser de l'énergie sur ce que le marché n'a pas confirmé vouloir payer.</w:t>
            </w:r>
          </w:p>
        </w:tc>
      </w:tr>
    </w:tbl>
    <w:p>
      <w:pPr>
        <w:spacing w:after="300" w:before="0" w:line="276"/>
        <w:jc w:val="left"/>
      </w:pPr>
      <w:r>
        <w:rPr>
          <w:rFonts w:ascii="Calibri" w:cs="Calibri" w:eastAsia="Calibri" w:hAnsi="Calibri"/>
          <w:b w:val="false"/>
          <w:bCs w:val="false"/>
          <w:i w:val="false"/>
          <w:iCs w:val="false"/>
          <w:color w:val="1A1A1A"/>
          <w:sz w:val="20"/>
          <w:szCs w:val="20"/>
        </w:rPr>
        <w:t xml:space="preserve"/>
      </w:r>
    </w:p>
    <w:p>
      <w:pPr>
        <w:pBdr>
          <w:bottom w:val="single" w:color="0D6E5A" w:sz="6" w:space="2"/>
        </w:pBdr>
        <w:spacing w:after="60" w:before="60"/>
      </w:pPr>
      <w:r>
        <w:rPr>
          <w:rFonts w:ascii="Calibri" w:cs="Calibri" w:eastAsia="Calibri" w:hAnsi="Calibri"/>
          <w:b w:val="false"/>
          <w:bCs w:val="false"/>
          <w:i w:val="false"/>
          <w:iCs w:val="false"/>
          <w:color w:val="1A1A1A"/>
          <w:sz w:val="20"/>
          <w:szCs w:val="20"/>
        </w:rPr>
        <w:t xml:space="preserve"/>
      </w:r>
    </w:p>
    <w:p>
      <w:pPr>
        <w:spacing w:after="40" w:before="80"/>
        <w:jc w:val="center"/>
      </w:pPr>
      <w:r>
        <w:rPr>
          <w:rFonts w:ascii="Calibri" w:cs="Calibri" w:eastAsia="Calibri" w:hAnsi="Calibri"/>
          <w:b/>
          <w:bCs/>
          <w:i w:val="false"/>
          <w:iCs w:val="false"/>
          <w:color w:val="0D6E5A"/>
          <w:sz w:val="18"/>
          <w:szCs w:val="18"/>
        </w:rPr>
        <w:t xml:space="preserve">PilotBI — Business Plan 2026</w:t>
      </w:r>
      <w:r>
        <w:rPr>
          <w:rFonts w:ascii="Calibri" w:cs="Calibri" w:eastAsia="Calibri" w:hAnsi="Calibri"/>
          <w:b w:val="false"/>
          <w:bCs w:val="false"/>
          <w:i w:val="false"/>
          <w:iCs w:val="false"/>
          <w:color w:val="718096"/>
          <w:sz w:val="17"/>
          <w:szCs w:val="17"/>
        </w:rPr>
        <w:t xml:space="preserve">  ·  Confidentiel  ·  Préparé pour Chaymae Kachiche &amp; Associée</w:t>
      </w:r>
    </w:p>
    <w:p>
      <w:pPr>
        <w:spacing w:after="0" w:before="0"/>
        <w:jc w:val="center"/>
      </w:pPr>
      <w:r>
        <w:rPr>
          <w:rFonts w:ascii="Calibri" w:cs="Calibri" w:eastAsia="Calibri" w:hAnsi="Calibri"/>
          <w:b w:val="false"/>
          <w:bCs w:val="false"/>
          <w:i/>
          <w:iCs/>
          <w:color w:val="A0AEC0"/>
          <w:sz w:val="16"/>
          <w:szCs w:val="16"/>
        </w:rPr>
        <w:t xml:space="preserve">Avril 2026 — Analyse stratégique assistée par Claude / Anthropic</w:t>
      </w:r>
    </w:p>
    <w:sectPr>
      <w:headerReference w:type="default" r:id="rId7"/>
      <w:footerReference w:type="default" r:id="rId8"/>
      <w:pgSz w:w="11906" w:h="16838" w:orient="portrait"/>
      <w:pgMar w:top="10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3" w:space="4"/>
      </w:pBdr>
      <w:tabs>
        <w:tab w:val="right" w:pos="9026"/>
      </w:tabs>
      <w:spacing w:after="0" w:before="80"/>
    </w:pPr>
    <w:r>
      <w:rPr>
        <w:rFonts w:ascii="Calibri" w:cs="Calibri" w:eastAsia="Calibri" w:hAnsi="Calibri"/>
        <w:b w:val="false"/>
        <w:bCs w:val="false"/>
        <w:i w:val="false"/>
        <w:iCs w:val="false"/>
        <w:color w:val="718096"/>
        <w:sz w:val="16"/>
        <w:szCs w:val="16"/>
      </w:rPr>
      <w:t xml:space="preserve">Chaymae Kachiche &amp; Associée  —  Avril 2026</w:t>
    </w:r>
    <w:r>
      <w:rPr>
        <w:rFonts w:ascii="Calibri" w:cs="Calibri" w:eastAsia="Calibri" w:hAnsi="Calibri"/>
        <w:b w:val="false"/>
        <w:bCs w:val="false"/>
        <w:i w:val="false"/>
        <w:iCs w:val="false"/>
        <w:color w:val="1A1A1A"/>
        <w:sz w:val="16"/>
        <w:szCs w:val="16"/>
      </w:rPr>
      <w:t xml:space="preserve">	</w:t>
    </w:r>
    <w:r>
      <w:rPr>
        <w:rFonts w:ascii="Calibri" w:cs="Calibri" w:eastAsia="Calibri" w:hAnsi="Calibri"/>
        <w:b w:val="false"/>
        <w:bCs w:val="false"/>
        <w:i w:val="false"/>
        <w:iCs w:val="false"/>
        <w:color w:val="718096"/>
        <w:sz w:val="16"/>
        <w:szCs w:val="16"/>
      </w:rPr>
      <w:t xml:space="preserve">Page </w:t>
    </w:r>
    <w:r>
      <w:rPr>
        <w:rFonts w:ascii="Calibri" w:cs="Calibri" w:eastAsia="Calibri" w:hAnsi="Calibri"/>
        <w:color w:val="718096"/>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718096"/>
        <w:sz w:val="16"/>
        <w:szCs w:val="16"/>
      </w:rPr>
      <w:t xml:space="preserve"> / </w:t>
    </w:r>
    <w:r>
      <w:rPr>
        <w:rFonts w:ascii="Calibri" w:cs="Calibri" w:eastAsia="Calibri" w:hAnsi="Calibri"/>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5A" w:sz="4" w:space="4"/>
      </w:pBdr>
      <w:tabs>
        <w:tab w:val="right" w:pos="9026"/>
      </w:tabs>
      <w:spacing w:after="80" w:before="0"/>
    </w:pPr>
    <w:r>
      <w:rPr>
        <w:rFonts w:ascii="Calibri" w:cs="Calibri" w:eastAsia="Calibri" w:hAnsi="Calibri"/>
        <w:b/>
        <w:bCs/>
        <w:i w:val="false"/>
        <w:iCs w:val="false"/>
        <w:color w:val="0D6E5A"/>
        <w:sz w:val="18"/>
        <w:szCs w:val="18"/>
      </w:rPr>
      <w:t xml:space="preserve">PilotBI</w:t>
    </w:r>
    <w:r>
      <w:rPr>
        <w:rFonts w:ascii="Calibri" w:cs="Calibri" w:eastAsia="Calibri" w:hAnsi="Calibri"/>
        <w:b w:val="false"/>
        <w:bCs w:val="false"/>
        <w:i w:val="false"/>
        <w:iCs w:val="false"/>
        <w:color w:val="718096"/>
        <w:sz w:val="18"/>
        <w:szCs w:val="18"/>
      </w:rPr>
      <w:t xml:space="preserve"> — Business Plan 2026</w:t>
    </w:r>
    <w:r>
      <w:rPr>
        <w:rFonts w:ascii="Calibri" w:cs="Calibri" w:eastAsia="Calibri" w:hAnsi="Calibri"/>
        <w:b w:val="false"/>
        <w:bCs w:val="false"/>
        <w:i w:val="false"/>
        <w:iCs w:val="false"/>
        <w:color w:val="1A1A1A"/>
        <w:sz w:val="18"/>
        <w:szCs w:val="18"/>
      </w:rPr>
      <w:t xml:space="preserve">	</w:t>
    </w:r>
    <w:r>
      <w:rPr>
        <w:rFonts w:ascii="Calibri" w:cs="Calibri" w:eastAsia="Calibri" w:hAnsi="Calibri"/>
        <w:b/>
        <w:bCs/>
        <w:i w:val="false"/>
        <w:iCs w:val="false"/>
        <w:color w:val="718096"/>
        <w:sz w:val="16"/>
        <w:szCs w:val="16"/>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440" w:hanging="22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2026-04-06T19:57:37.954Z</dcterms:created>
  <dcterms:modified xsi:type="dcterms:W3CDTF">2026-04-06T19:57:37.957Z</dcterms:modified>
</cp:coreProperties>
</file>

<file path=docProps/custom.xml><?xml version="1.0" encoding="utf-8"?>
<Properties xmlns="http://schemas.openxmlformats.org/officeDocument/2006/custom-properties" xmlns:vt="http://schemas.openxmlformats.org/officeDocument/2006/docPropsVTypes"/>
</file>