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1000" w14:textId="77777777" w:rsidR="00AD073C" w:rsidRDefault="00000000">
      <w:pPr>
        <w:jc w:val="center"/>
        <w:rPr>
          <w:rFonts w:asciiTheme="majorBidi" w:hAnsiTheme="majorBidi" w:cstheme="majorBidi"/>
          <w:sz w:val="24"/>
        </w:rPr>
      </w:pPr>
      <w:r w:rsidRPr="00AD073C">
        <w:rPr>
          <w:rFonts w:asciiTheme="majorBidi" w:hAnsiTheme="majorBidi" w:cstheme="majorBidi"/>
          <w:b/>
          <w:color w:val="006B4F"/>
          <w:sz w:val="26"/>
        </w:rPr>
        <w:t>EWA · InnovatiCS</w:t>
      </w:r>
      <w:r w:rsidRPr="00AD073C">
        <w:rPr>
          <w:rFonts w:asciiTheme="majorBidi" w:hAnsiTheme="majorBidi" w:cstheme="majorBidi"/>
          <w:b/>
          <w:color w:val="006B4F"/>
          <w:sz w:val="26"/>
        </w:rPr>
        <w:br/>
      </w:r>
      <w:r w:rsidRPr="00AD073C">
        <w:rPr>
          <w:rFonts w:asciiTheme="majorBidi" w:hAnsiTheme="majorBidi" w:cstheme="majorBidi"/>
          <w:sz w:val="24"/>
        </w:rPr>
        <w:t>Associate Degree in AI &amp; Data Science</w:t>
      </w:r>
    </w:p>
    <w:p w14:paraId="069F74F1" w14:textId="0A23C53B" w:rsidR="00310FFB" w:rsidRPr="00AD073C" w:rsidRDefault="00000000">
      <w:pPr>
        <w:jc w:val="cent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  <w:sz w:val="24"/>
        </w:rPr>
        <w:br/>
      </w:r>
      <w:r w:rsidRPr="00AD073C">
        <w:rPr>
          <w:rFonts w:asciiTheme="majorBidi" w:hAnsiTheme="majorBidi" w:cstheme="majorBidi"/>
          <w:b/>
          <w:color w:val="20355C"/>
          <w:sz w:val="44"/>
        </w:rPr>
        <w:t>AI Wind Power Forecasting &amp; Turbine Underperformance Analytics</w:t>
      </w:r>
    </w:p>
    <w:p w14:paraId="2E55F9C0" w14:textId="77777777" w:rsidR="00310FFB" w:rsidRPr="00AD073C" w:rsidRDefault="00000000">
      <w:pPr>
        <w:jc w:val="cent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  <w:b/>
          <w:color w:val="C99A28"/>
          <w:sz w:val="24"/>
        </w:rPr>
        <w:t>ACWA Power – Wind Power | ACWA Power</w:t>
      </w:r>
    </w:p>
    <w:p w14:paraId="335AF712" w14:textId="77777777" w:rsidR="00310FFB" w:rsidRPr="00AD073C" w:rsidRDefault="00000000">
      <w:pPr>
        <w:jc w:val="cent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AI &amp; Data Science Capstone Project Brief | Kingdom of Saudi Arabia</w:t>
      </w:r>
    </w:p>
    <w:p w14:paraId="43C5297B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1. Industry Background &amp; Quantified Problem Statement</w:t>
      </w:r>
    </w:p>
    <w:p w14:paraId="7DD53982" w14:textId="32B0A20C" w:rsidR="00310FFB" w:rsidRPr="00AD073C" w:rsidRDefault="00000000">
      <w:pPr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Wind generation varies with meteorology, turbine condition, curtailment</w:t>
      </w:r>
      <w:r w:rsidR="00AD073C">
        <w:rPr>
          <w:rFonts w:asciiTheme="majorBidi" w:hAnsiTheme="majorBidi" w:cstheme="majorBidi"/>
        </w:rPr>
        <w:t>,</w:t>
      </w:r>
      <w:r w:rsidRPr="00AD073C">
        <w:rPr>
          <w:rFonts w:asciiTheme="majorBidi" w:hAnsiTheme="majorBidi" w:cstheme="majorBidi"/>
        </w:rPr>
        <w:t xml:space="preserve"> and control settings. For this capstone, the synthetic wind portfolio operates at approximately 38% capacity factor, while about 14% of turbine-hours generate at least 10% less power than expected under comparable wind conditions. These periods contribute to an estimated 5–8% annual generation gap.</w:t>
      </w:r>
      <w:r w:rsidRPr="00AD073C">
        <w:rPr>
          <w:rFonts w:asciiTheme="majorBidi" w:hAnsiTheme="majorBidi" w:cstheme="majorBidi"/>
        </w:rPr>
        <w:br/>
      </w:r>
      <w:r w:rsidRPr="00AD073C">
        <w:rPr>
          <w:rFonts w:asciiTheme="majorBidi" w:hAnsiTheme="majorBidi" w:cstheme="majorBidi"/>
        </w:rPr>
        <w:br/>
        <w:t>The project will forecast expected turbine output, identify and explain &gt;10% underperformance, distinguish controllable technical losses from weather, availability</w:t>
      </w:r>
      <w:r w:rsidR="00AD073C">
        <w:rPr>
          <w:rFonts w:asciiTheme="majorBidi" w:hAnsiTheme="majorBidi" w:cstheme="majorBidi"/>
        </w:rPr>
        <w:t>,</w:t>
      </w:r>
      <w:r w:rsidRPr="00AD073C">
        <w:rPr>
          <w:rFonts w:asciiTheme="majorBidi" w:hAnsiTheme="majorBidi" w:cstheme="majorBidi"/>
        </w:rPr>
        <w:t xml:space="preserve"> and curtailment, and prioritize interventions </w:t>
      </w:r>
      <w:r w:rsidR="00AD073C">
        <w:rPr>
          <w:rFonts w:asciiTheme="majorBidi" w:hAnsiTheme="majorBidi" w:cstheme="majorBidi"/>
        </w:rPr>
        <w:t>that can recover</w:t>
      </w:r>
      <w:r w:rsidRPr="00AD073C">
        <w:rPr>
          <w:rFonts w:asciiTheme="majorBidi" w:hAnsiTheme="majorBidi" w:cstheme="majorBidi"/>
        </w:rPr>
        <w:t xml:space="preserve"> at least 2–3% of annual energy production. The expected-power model target is R² ≥0.90. For a hypothetical 1 GW portfolio at 38% capacity factor, annual generation is about 3.33 TWh</w:t>
      </w:r>
      <w:r w:rsidR="00AD073C">
        <w:rPr>
          <w:rFonts w:asciiTheme="majorBidi" w:hAnsiTheme="majorBidi" w:cstheme="majorBidi"/>
        </w:rPr>
        <w:t>,</w:t>
      </w:r>
      <w:r w:rsidRPr="00AD073C">
        <w:rPr>
          <w:rFonts w:asciiTheme="majorBidi" w:hAnsiTheme="majorBidi" w:cstheme="majorBidi"/>
        </w:rPr>
        <w:t xml:space="preserve"> and a 2% recovery represents roughly 66.6 GWh/year.</w:t>
      </w:r>
    </w:p>
    <w:p w14:paraId="780C2AA8" w14:textId="77777777" w:rsidR="00310FFB" w:rsidRPr="00AD073C" w:rsidRDefault="00000000">
      <w:pPr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  <w:b/>
        </w:rPr>
        <w:t xml:space="preserve">Academic data note: </w:t>
      </w:r>
      <w:r w:rsidRPr="00AD073C">
        <w:rPr>
          <w:rFonts w:asciiTheme="majorBidi" w:hAnsiTheme="majorBidi" w:cstheme="majorBidi"/>
        </w:rPr>
        <w:t>The baselines and percentages are realistic synthetic assumptions for capstone modeling. They are not presented as confidential ACWA Power performance figures.</w:t>
      </w:r>
    </w:p>
    <w:p w14:paraId="05CD67BF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2. Key Quantified Baselines &amp; Success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0"/>
        <w:gridCol w:w="6894"/>
      </w:tblGrid>
      <w:tr w:rsidR="00310FFB" w:rsidRPr="00AD073C" w14:paraId="15025D64" w14:textId="77777777" w:rsidTr="00AD073C">
        <w:trPr>
          <w:jc w:val="center"/>
        </w:trPr>
        <w:tc>
          <w:tcPr>
            <w:tcW w:w="3330" w:type="dxa"/>
            <w:shd w:val="clear" w:color="auto" w:fill="006B4F"/>
          </w:tcPr>
          <w:p w14:paraId="3411AF7A" w14:textId="77777777" w:rsidR="00310FFB" w:rsidRPr="00AD073C" w:rsidRDefault="00000000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AD073C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6894" w:type="dxa"/>
            <w:shd w:val="clear" w:color="auto" w:fill="006B4F"/>
          </w:tcPr>
          <w:p w14:paraId="2585B1CA" w14:textId="77777777" w:rsidR="00310FFB" w:rsidRPr="00AD073C" w:rsidRDefault="00000000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AD073C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Target / Baseline</w:t>
            </w:r>
          </w:p>
        </w:tc>
      </w:tr>
      <w:tr w:rsidR="00310FFB" w:rsidRPr="00AD073C" w14:paraId="75BAD890" w14:textId="77777777" w:rsidTr="00AD073C">
        <w:trPr>
          <w:jc w:val="center"/>
        </w:trPr>
        <w:tc>
          <w:tcPr>
            <w:tcW w:w="3330" w:type="dxa"/>
          </w:tcPr>
          <w:p w14:paraId="16C571FD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Portfolio capacity factor</w:t>
            </w:r>
          </w:p>
        </w:tc>
        <w:tc>
          <w:tcPr>
            <w:tcW w:w="6894" w:type="dxa"/>
          </w:tcPr>
          <w:p w14:paraId="2FB2B447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~38%</w:t>
            </w:r>
          </w:p>
        </w:tc>
      </w:tr>
      <w:tr w:rsidR="00310FFB" w:rsidRPr="00AD073C" w14:paraId="24912B1A" w14:textId="77777777" w:rsidTr="00AD073C">
        <w:trPr>
          <w:jc w:val="center"/>
        </w:trPr>
        <w:tc>
          <w:tcPr>
            <w:tcW w:w="3330" w:type="dxa"/>
          </w:tcPr>
          <w:p w14:paraId="1C13052D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Underperforming turbine-hours</w:t>
            </w:r>
          </w:p>
        </w:tc>
        <w:tc>
          <w:tcPr>
            <w:tcW w:w="6894" w:type="dxa"/>
          </w:tcPr>
          <w:p w14:paraId="20BA4260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~14% are &gt;10% below expected output</w:t>
            </w:r>
          </w:p>
        </w:tc>
      </w:tr>
      <w:tr w:rsidR="00310FFB" w:rsidRPr="00AD073C" w14:paraId="2D62B5E6" w14:textId="77777777" w:rsidTr="00AD073C">
        <w:trPr>
          <w:jc w:val="center"/>
        </w:trPr>
        <w:tc>
          <w:tcPr>
            <w:tcW w:w="3330" w:type="dxa"/>
          </w:tcPr>
          <w:p w14:paraId="702F5032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Annual generation gap</w:t>
            </w:r>
          </w:p>
        </w:tc>
        <w:tc>
          <w:tcPr>
            <w:tcW w:w="6894" w:type="dxa"/>
          </w:tcPr>
          <w:p w14:paraId="62248081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~5–8%</w:t>
            </w:r>
          </w:p>
        </w:tc>
      </w:tr>
      <w:tr w:rsidR="00310FFB" w:rsidRPr="00AD073C" w14:paraId="7C915894" w14:textId="77777777" w:rsidTr="00AD073C">
        <w:trPr>
          <w:jc w:val="center"/>
        </w:trPr>
        <w:tc>
          <w:tcPr>
            <w:tcW w:w="3330" w:type="dxa"/>
          </w:tcPr>
          <w:p w14:paraId="3EE8F4A6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Model target</w:t>
            </w:r>
          </w:p>
        </w:tc>
        <w:tc>
          <w:tcPr>
            <w:tcW w:w="6894" w:type="dxa"/>
          </w:tcPr>
          <w:p w14:paraId="09FE51B6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Expected-power R² ≥0.90</w:t>
            </w:r>
          </w:p>
        </w:tc>
      </w:tr>
      <w:tr w:rsidR="00310FFB" w:rsidRPr="00AD073C" w14:paraId="23B74699" w14:textId="77777777" w:rsidTr="00AD073C">
        <w:trPr>
          <w:jc w:val="center"/>
        </w:trPr>
        <w:tc>
          <w:tcPr>
            <w:tcW w:w="3330" w:type="dxa"/>
          </w:tcPr>
          <w:p w14:paraId="6F001F12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Business target</w:t>
            </w:r>
          </w:p>
        </w:tc>
        <w:tc>
          <w:tcPr>
            <w:tcW w:w="6894" w:type="dxa"/>
          </w:tcPr>
          <w:p w14:paraId="72B4F8BC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Recover ≥2–3% of annual energy production</w:t>
            </w:r>
          </w:p>
        </w:tc>
      </w:tr>
    </w:tbl>
    <w:p w14:paraId="491C30A0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3. Project Objectives</w:t>
      </w:r>
    </w:p>
    <w:p w14:paraId="59824A2F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Predict Expected_Power_kW and short-horizon generation.</w:t>
      </w:r>
    </w:p>
    <w:p w14:paraId="7664C1AA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Classify Underperformance_Flag when actual power is &gt;10% below expected under eligible conditions.</w:t>
      </w:r>
    </w:p>
    <w:p w14:paraId="126699BC" w14:textId="186F6EB1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Separate weather, curtailment, availability</w:t>
      </w:r>
      <w:r w:rsidR="00AD073C">
        <w:rPr>
          <w:rFonts w:asciiTheme="majorBidi" w:hAnsiTheme="majorBidi" w:cstheme="majorBidi"/>
        </w:rPr>
        <w:t>,</w:t>
      </w:r>
      <w:r w:rsidRPr="00AD073C">
        <w:rPr>
          <w:rFonts w:asciiTheme="majorBidi" w:hAnsiTheme="majorBidi" w:cstheme="majorBidi"/>
        </w:rPr>
        <w:t xml:space="preserve"> and technical losses.</w:t>
      </w:r>
    </w:p>
    <w:p w14:paraId="05248842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Detect unusual turbine behavior using SCADA variables.</w:t>
      </w:r>
    </w:p>
    <w:p w14:paraId="658BFFFA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Rank turbines by recoverable lost MWh and revenue.</w:t>
      </w:r>
    </w:p>
    <w:p w14:paraId="46E7F5E8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Deliver a wind-farm/turbine performance dashboard.</w:t>
      </w:r>
    </w:p>
    <w:p w14:paraId="4BD1A830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4. Dataset Architecture</w:t>
      </w:r>
    </w:p>
    <w:p w14:paraId="452E0A49" w14:textId="77777777" w:rsidR="00310FFB" w:rsidRPr="00AD073C" w:rsidRDefault="00000000">
      <w:pPr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Dataset size: 1,000,000+ 10-minute turbine SCADA records</w:t>
      </w:r>
    </w:p>
    <w:p w14:paraId="124D6BFD" w14:textId="77777777" w:rsidR="00310FFB" w:rsidRPr="00AD073C" w:rsidRDefault="00000000">
      <w:pPr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Hierarchical structure: Region → Country → Wind Farm → Turbine → Subsystem → Sensor</w:t>
      </w:r>
    </w:p>
    <w:p w14:paraId="3F3477BE" w14:textId="77777777" w:rsidR="00310FFB" w:rsidRPr="00AD073C" w:rsidRDefault="00000000">
      <w:pPr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lastRenderedPageBreak/>
        <w:t>The supplied dataset contains at least 1,000,000 records and is deliberately designed with realistic data-quality and modeling challenges.</w:t>
      </w:r>
    </w:p>
    <w:p w14:paraId="5AE27BA7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5. Expanded Variable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7776"/>
      </w:tblGrid>
      <w:tr w:rsidR="00310FFB" w:rsidRPr="00AD073C" w14:paraId="432587A5" w14:textId="77777777" w:rsidTr="00AD073C">
        <w:tc>
          <w:tcPr>
            <w:tcW w:w="2448" w:type="dxa"/>
            <w:shd w:val="clear" w:color="auto" w:fill="006B4F"/>
          </w:tcPr>
          <w:p w14:paraId="3DAEA862" w14:textId="77777777" w:rsidR="00310FFB" w:rsidRPr="00AD073C" w:rsidRDefault="00000000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AD073C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Variable Family</w:t>
            </w:r>
          </w:p>
        </w:tc>
        <w:tc>
          <w:tcPr>
            <w:tcW w:w="7776" w:type="dxa"/>
            <w:shd w:val="clear" w:color="auto" w:fill="006B4F"/>
          </w:tcPr>
          <w:p w14:paraId="707E94F6" w14:textId="77777777" w:rsidR="00310FFB" w:rsidRPr="00AD073C" w:rsidRDefault="00000000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AD073C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Variables</w:t>
            </w:r>
          </w:p>
        </w:tc>
      </w:tr>
      <w:tr w:rsidR="00310FFB" w:rsidRPr="00AD073C" w14:paraId="089B7730" w14:textId="77777777" w:rsidTr="00AD073C">
        <w:tc>
          <w:tcPr>
            <w:tcW w:w="2448" w:type="dxa"/>
          </w:tcPr>
          <w:p w14:paraId="11D19C89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Identity &amp; hierarchy</w:t>
            </w:r>
          </w:p>
        </w:tc>
        <w:tc>
          <w:tcPr>
            <w:tcW w:w="7776" w:type="dxa"/>
          </w:tcPr>
          <w:p w14:paraId="316EF436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Record_ID, Farm_ID, Region, Country, Site_Zone, Turbine_ID, Turbine_Model, Manufacturer, Subsystem_ID, Sensor_ID, Feeder_ID, Substation_ID, Grid_Node_ID, Maintenance_Crew_ID</w:t>
            </w:r>
          </w:p>
        </w:tc>
      </w:tr>
      <w:tr w:rsidR="00310FFB" w:rsidRPr="00AD073C" w14:paraId="04FAFCF9" w14:textId="77777777" w:rsidTr="00AD073C">
        <w:tc>
          <w:tcPr>
            <w:tcW w:w="2448" w:type="dxa"/>
          </w:tcPr>
          <w:p w14:paraId="4F382F6C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Time</w:t>
            </w:r>
          </w:p>
        </w:tc>
        <w:tc>
          <w:tcPr>
            <w:tcW w:w="7776" w:type="dxa"/>
          </w:tcPr>
          <w:p w14:paraId="39802AE9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Timestamp, Local_Date, Hour, Day_Of_Week, Month, Season, Maintenance_Window_Flag, Curtailment_Window_Flag, Minutes_Since_Restart</w:t>
            </w:r>
          </w:p>
        </w:tc>
      </w:tr>
      <w:tr w:rsidR="00310FFB" w:rsidRPr="00AD073C" w14:paraId="117D7246" w14:textId="77777777" w:rsidTr="00AD073C">
        <w:tc>
          <w:tcPr>
            <w:tcW w:w="2448" w:type="dxa"/>
          </w:tcPr>
          <w:p w14:paraId="2BC78525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Meteorology</w:t>
            </w:r>
          </w:p>
        </w:tc>
        <w:tc>
          <w:tcPr>
            <w:tcW w:w="7776" w:type="dxa"/>
          </w:tcPr>
          <w:p w14:paraId="204BA81F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Wind_Speed_m_s, Wind_Direction_deg, Hub_Height_Wind_Speed, Gust_Speed, Turbulence_Intensity, Air_Temperature_C, Air_Density_kg_m3, Atmospheric_Pressure_hPa, Humidity_Pct, Precipitation_mm, Shear_Exponent</w:t>
            </w:r>
          </w:p>
        </w:tc>
      </w:tr>
      <w:tr w:rsidR="00310FFB" w:rsidRPr="00AD073C" w14:paraId="3CBC16BD" w14:textId="77777777" w:rsidTr="00AD073C">
        <w:tc>
          <w:tcPr>
            <w:tcW w:w="2448" w:type="dxa"/>
          </w:tcPr>
          <w:p w14:paraId="1495A613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Power / electrical</w:t>
            </w:r>
          </w:p>
        </w:tc>
        <w:tc>
          <w:tcPr>
            <w:tcW w:w="7776" w:type="dxa"/>
          </w:tcPr>
          <w:p w14:paraId="4C10D4AF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Actual_Power_kW, Expected_Power_kW, Reactive_Power_kVAR, Generator_Voltage_V, Generator_Current_A, Grid_Frequency_Hz, Power_Factor, Converter_Temperature_C, Transformer_Temperature_C</w:t>
            </w:r>
          </w:p>
        </w:tc>
      </w:tr>
      <w:tr w:rsidR="00310FFB" w:rsidRPr="00AD073C" w14:paraId="1ED3AED9" w14:textId="77777777" w:rsidTr="00AD073C">
        <w:tc>
          <w:tcPr>
            <w:tcW w:w="2448" w:type="dxa"/>
          </w:tcPr>
          <w:p w14:paraId="16C13059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Rotor / control</w:t>
            </w:r>
          </w:p>
        </w:tc>
        <w:tc>
          <w:tcPr>
            <w:tcW w:w="7776" w:type="dxa"/>
          </w:tcPr>
          <w:p w14:paraId="0C687817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Rotor_Speed_RPM, Generator_Speed_RPM, Blade_Pitch_A_deg, Blade_Pitch_B_deg, Blade_Pitch_C_deg, Nacelle_Direction_deg, Yaw_Error_deg, Torque_kNm, Tip_Speed_Ratio, Control_Mode</w:t>
            </w:r>
          </w:p>
        </w:tc>
      </w:tr>
      <w:tr w:rsidR="00310FFB" w:rsidRPr="00AD073C" w14:paraId="3B8EB035" w14:textId="77777777" w:rsidTr="00AD073C">
        <w:tc>
          <w:tcPr>
            <w:tcW w:w="2448" w:type="dxa"/>
          </w:tcPr>
          <w:p w14:paraId="39E77FEB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Mechanical health</w:t>
            </w:r>
          </w:p>
        </w:tc>
        <w:tc>
          <w:tcPr>
            <w:tcW w:w="7776" w:type="dxa"/>
          </w:tcPr>
          <w:p w14:paraId="01231FFC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Gearbox_Oil_Temperature_C, Gearbox_Bearing_Temp_C, Main_Bearing_Temp_C, Generator_Bearing_Temp_C, Hydraulic_Pressure_bar, Vibration_DriveTrain_mm_s, Vibration_Tower_mm_s, Oil_Particle_Count</w:t>
            </w:r>
          </w:p>
        </w:tc>
      </w:tr>
      <w:tr w:rsidR="00310FFB" w:rsidRPr="00AD073C" w14:paraId="6DE84F71" w14:textId="77777777" w:rsidTr="00AD073C">
        <w:tc>
          <w:tcPr>
            <w:tcW w:w="2448" w:type="dxa"/>
          </w:tcPr>
          <w:p w14:paraId="6C0ABACB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Availability / grid</w:t>
            </w:r>
          </w:p>
        </w:tc>
        <w:tc>
          <w:tcPr>
            <w:tcW w:w="7776" w:type="dxa"/>
          </w:tcPr>
          <w:p w14:paraId="72ACE55F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Turbine_Availability_Pct, Grid_Availability_Pct, Alarm_Count_10min, Critical_Alarm_Flag, Stop_Code, Downtime_Minutes, Curtailment_Flag, Curtailment_Reason, Grid_Constraint_Flag</w:t>
            </w:r>
          </w:p>
        </w:tc>
      </w:tr>
      <w:tr w:rsidR="00310FFB" w:rsidRPr="00AD073C" w14:paraId="4D1E1005" w14:textId="77777777" w:rsidTr="00AD073C">
        <w:tc>
          <w:tcPr>
            <w:tcW w:w="2448" w:type="dxa"/>
          </w:tcPr>
          <w:p w14:paraId="043C8B7B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Asset / targets</w:t>
            </w:r>
          </w:p>
        </w:tc>
        <w:tc>
          <w:tcPr>
            <w:tcW w:w="7776" w:type="dxa"/>
          </w:tcPr>
          <w:p w14:paraId="21BF90AD" w14:textId="77777777" w:rsidR="00310FFB" w:rsidRPr="00AD073C" w:rsidRDefault="00000000">
            <w:pPr>
              <w:rPr>
                <w:rFonts w:asciiTheme="majorBidi" w:hAnsiTheme="majorBidi" w:cstheme="majorBidi"/>
              </w:rPr>
            </w:pPr>
            <w:r w:rsidRPr="00AD073C">
              <w:rPr>
                <w:rFonts w:asciiTheme="majorBidi" w:hAnsiTheme="majorBidi" w:cstheme="majorBidi"/>
              </w:rPr>
              <w:t>Turbine_Age_Years, Blade_Inspection_Score, Icing_Risk_Index, Dust_Soiling_Index, Wake_Sector, Electricity_Price_USD_MWh, Lost_Energy_MWh, Capacity_Factor_Pct, Power_Deviation_Pct, Underperformance_Flag, Anomaly_Score</w:t>
            </w:r>
          </w:p>
        </w:tc>
      </w:tr>
    </w:tbl>
    <w:p w14:paraId="15595B1F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6. Required Data Quality &amp; Analytical Problems</w:t>
      </w:r>
    </w:p>
    <w:p w14:paraId="20097CCB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1–5% routine SCADA gaps and 8–12% missingness in selected vibration/oil-condition fields.</w:t>
      </w:r>
    </w:p>
    <w:p w14:paraId="27054AFE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0.5–2% extreme weather, vibration, rotor-speed and power outliers.</w:t>
      </w:r>
    </w:p>
    <w:p w14:paraId="111AC48C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High-cardinality Record_ID, Turbine_ID, Sensor_ID, Stop_Code and crew identifiers.</w:t>
      </w:r>
    </w:p>
    <w:p w14:paraId="4AF2F345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10-minute timestamps with irregular intervals, duplicates, maintenance and curtailment windows.</w:t>
      </w:r>
    </w:p>
    <w:p w14:paraId="656B71AF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Categorical turbine model, manufacturer, control mode, stop code, curtailment reason and wake sector.</w:t>
      </w:r>
    </w:p>
    <w:p w14:paraId="65F53BAF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Region/farm/turbine/subsystem/sensor hierarchy.</w:t>
      </w:r>
    </w:p>
    <w:p w14:paraId="0BFFA51C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Frozen sensors, negative or impossible power values, mislabeled curtailment and unit/case inconsistencies.</w:t>
      </w:r>
    </w:p>
    <w:p w14:paraId="696DD24D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Leakage traps from future-aware expected-power calculations, post-event maintenance and lost-energy outcomes.</w:t>
      </w:r>
    </w:p>
    <w:p w14:paraId="3529B77A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7. Required Analytical Workflow</w:t>
      </w:r>
    </w:p>
    <w:p w14:paraId="1C70A58E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Business Understanding and KPI definition</w:t>
      </w:r>
    </w:p>
    <w:p w14:paraId="288BF115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Data Understanding and exploratory analysis</w:t>
      </w:r>
    </w:p>
    <w:p w14:paraId="1BAC8AD2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Data Preparation and feature engineering</w:t>
      </w:r>
    </w:p>
    <w:p w14:paraId="45566C1C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Baseline modeling</w:t>
      </w:r>
    </w:p>
    <w:p w14:paraId="1F7E5580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Advanced modeling and hyperparameter tuning</w:t>
      </w:r>
    </w:p>
    <w:p w14:paraId="4CA2D57C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Model evaluation and explainability</w:t>
      </w:r>
    </w:p>
    <w:p w14:paraId="1DE4C28D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Business-impact quantification</w:t>
      </w:r>
    </w:p>
    <w:p w14:paraId="6C086028" w14:textId="77777777" w:rsidR="00310FFB" w:rsidRPr="00AD073C" w:rsidRDefault="00000000">
      <w:pPr>
        <w:pStyle w:val="ListNumber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Executive dashboard and final presentation</w:t>
      </w:r>
    </w:p>
    <w:p w14:paraId="185DBC92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lastRenderedPageBreak/>
        <w:t>8. Model Governance Requirements</w:t>
      </w:r>
    </w:p>
    <w:p w14:paraId="5F17DF04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Use time-aware and entity-aware train/validation/test splits.</w:t>
      </w:r>
    </w:p>
    <w:p w14:paraId="31D37C36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Identify and remove target leakage for the selected prediction horizon.</w:t>
      </w:r>
    </w:p>
    <w:p w14:paraId="195102B4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Document missing-value, outlier, encoding and high-cardinality handling.</w:t>
      </w:r>
    </w:p>
    <w:p w14:paraId="53E17A1F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Compare baseline and advanced models using statistical and business metrics.</w:t>
      </w:r>
    </w:p>
    <w:p w14:paraId="0C16E316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Provide explainability, sensitivity analysis and reproducible code/pipelines.</w:t>
      </w:r>
    </w:p>
    <w:p w14:paraId="65128514" w14:textId="77777777" w:rsidR="00310FFB" w:rsidRPr="00AD073C" w:rsidRDefault="00000000">
      <w:pPr>
        <w:pStyle w:val="Heading1"/>
        <w:rPr>
          <w:rFonts w:asciiTheme="majorBidi" w:hAnsiTheme="majorBidi"/>
        </w:rPr>
      </w:pPr>
      <w:r w:rsidRPr="00AD073C">
        <w:rPr>
          <w:rFonts w:asciiTheme="majorBidi" w:hAnsiTheme="majorBidi"/>
        </w:rPr>
        <w:t>9. Final Deliverables</w:t>
      </w:r>
    </w:p>
    <w:p w14:paraId="1288320D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Business Understanding &amp; KPI Specification</w:t>
      </w:r>
    </w:p>
    <w:p w14:paraId="0DF4D1C6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Data Dictionary and Data Quality Report</w:t>
      </w:r>
    </w:p>
    <w:p w14:paraId="0420637D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EDA Report</w:t>
      </w:r>
    </w:p>
    <w:p w14:paraId="69955B9E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Data Preparation Pipeline</w:t>
      </w:r>
    </w:p>
    <w:p w14:paraId="21E8B8DB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Baseline and Advanced Models</w:t>
      </w:r>
    </w:p>
    <w:p w14:paraId="78087815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Model Evaluation &amp; Explainability Report</w:t>
      </w:r>
    </w:p>
    <w:p w14:paraId="77F3A540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Executive Dashboard</w:t>
      </w:r>
    </w:p>
    <w:p w14:paraId="5917908B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Business Impact Model</w:t>
      </w:r>
    </w:p>
    <w:p w14:paraId="78110DEB" w14:textId="77777777" w:rsidR="00310FFB" w:rsidRPr="00AD073C" w:rsidRDefault="00000000">
      <w:pPr>
        <w:pStyle w:val="ListBullet"/>
        <w:rPr>
          <w:rFonts w:asciiTheme="majorBidi" w:hAnsiTheme="majorBidi" w:cstheme="majorBidi"/>
        </w:rPr>
      </w:pPr>
      <w:r w:rsidRPr="00AD073C">
        <w:rPr>
          <w:rFonts w:asciiTheme="majorBidi" w:hAnsiTheme="majorBidi" w:cstheme="majorBidi"/>
        </w:rPr>
        <w:t>Final Technical Report and Executive Presentation</w:t>
      </w:r>
    </w:p>
    <w:sectPr w:rsidR="00310FFB" w:rsidRPr="00AD07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433387">
    <w:abstractNumId w:val="8"/>
  </w:num>
  <w:num w:numId="2" w16cid:durableId="323972232">
    <w:abstractNumId w:val="6"/>
  </w:num>
  <w:num w:numId="3" w16cid:durableId="521162167">
    <w:abstractNumId w:val="5"/>
  </w:num>
  <w:num w:numId="4" w16cid:durableId="1125122841">
    <w:abstractNumId w:val="4"/>
  </w:num>
  <w:num w:numId="5" w16cid:durableId="1406797997">
    <w:abstractNumId w:val="7"/>
  </w:num>
  <w:num w:numId="6" w16cid:durableId="1783919426">
    <w:abstractNumId w:val="3"/>
  </w:num>
  <w:num w:numId="7" w16cid:durableId="173808764">
    <w:abstractNumId w:val="2"/>
  </w:num>
  <w:num w:numId="8" w16cid:durableId="1093160234">
    <w:abstractNumId w:val="1"/>
  </w:num>
  <w:num w:numId="9" w16cid:durableId="41779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FFB"/>
    <w:rsid w:val="00326F90"/>
    <w:rsid w:val="006C0C5D"/>
    <w:rsid w:val="00AA1D8D"/>
    <w:rsid w:val="00AD07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A9A47"/>
  <w14:defaultImageDpi w14:val="300"/>
  <w15:docId w15:val="{7E252913-715A-4F40-BBD0-3922132C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B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35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 Medwani</cp:lastModifiedBy>
  <cp:revision>2</cp:revision>
  <dcterms:created xsi:type="dcterms:W3CDTF">2013-12-23T23:15:00Z</dcterms:created>
  <dcterms:modified xsi:type="dcterms:W3CDTF">2026-09-09T20:29:00Z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a95cade6-148c-4065-8890-47b771ff09d8</vt:lpwstr>
  </property>
</Properties>
</file>