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0b5394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A. KPI’s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9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B. Daily Trend for Total Orders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3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shd w:fill="efefef" w:val="clear"/>
          <w:rtl w:val="0"/>
        </w:rPr>
        <w:t xml:space="preserve">L. Bottom 5 Pizzas by Total Orders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