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3" name="Picture"/>
            <a:graphic>
              <a:graphicData uri="http://schemas.openxmlformats.org/drawingml/2006/picture">
                <pic:pic>
                  <pic:nvPicPr>
                    <pic:cNvPr descr="00_game_of_trust.png" id="24" name="Picture"/>
                    <pic:cNvPicPr>
                      <a:picLocks noChangeArrowheads="1" noChangeAspect="1"/>
                    </pic:cNvPicPr>
                  </pic:nvPicPr>
                  <pic:blipFill>
                    <a:blip r:embed="rId22"/>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3"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full per-archetype policy 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3).</w:t>
      </w:r>
      <w:r>
        <w:t xml:space="preserve"> </w:t>
      </w:r>
      <w:r>
        <w:t xml:space="preserve">This is a design choice, not a finding.</w:t>
      </w:r>
    </w:p>
    <w:bookmarkEnd w:id="35"/>
    <w:bookmarkStart w:id="36"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6"/>
    <w:bookmarkStart w:id="37"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7"/>
    <w:bookmarkStart w:id="42"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8"/>
      </w:r>
      <w:r>
        <w:t xml:space="preserve">,</w:t>
      </w:r>
      <w:r>
        <w:t xml:space="preserve"> </w:t>
      </w:r>
      <w:r>
        <w:t xml:space="preserve">sensitivity to context (CS)</w:t>
      </w:r>
      <w:r>
        <w:rPr>
          <w:rStyle w:val="FootnoteReference"/>
        </w:rPr>
        <w:footnoteReference w:id="39"/>
      </w:r>
      <w:r>
        <w:t xml:space="preserve">, adaptation by the opponent</w:t>
      </w:r>
      <w:r>
        <w:t xml:space="preserve"> </w:t>
      </w:r>
      <w:r>
        <w:t xml:space="preserve">(OA)</w:t>
      </w:r>
      <w:r>
        <w:rPr>
          <w:rStyle w:val="FootnoteReference"/>
        </w:rPr>
        <w:footnoteReference w:id="40"/>
      </w:r>
      <w:r>
        <w:t xml:space="preserve">,</w:t>
      </w:r>
      <w:r>
        <w:t xml:space="preserve"> </w:t>
      </w:r>
      <w:r>
        <w:t xml:space="preserve">non-stationarity (NS)</w:t>
      </w:r>
      <w:r>
        <w:rPr>
          <w:rStyle w:val="FootnoteReference"/>
        </w:rPr>
        <w:footnoteReference w:id="41"/>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2"/>
    <w:bookmarkEnd w:id="43"/>
    <w:bookmarkStart w:id="78"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w:t>
      </w:r>
    </w:p>
    <w:bookmarkStart w:id="51"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4"/>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6" name="Picture"/>
            <a:graphic>
              <a:graphicData uri="http://schemas.openxmlformats.org/drawingml/2006/picture">
                <pic:pic>
                  <pic:nvPicPr>
                    <pic:cNvPr descr="05_trust_vs_stack.png" id="47" name="Picture"/>
                    <pic:cNvPicPr>
                      <a:picLocks noChangeArrowheads="1" noChangeAspect="1"/>
                    </pic:cNvPicPr>
                  </pic:nvPicPr>
                  <pic:blipFill>
                    <a:blip r:embed="rId45"/>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8"/>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9"/>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0"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0"/>
    <w:bookmarkEnd w:id="51"/>
    <w:bookmarkStart w:id="56"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2"/>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4" name="Picture"/>
            <a:graphic>
              <a:graphicData uri="http://schemas.openxmlformats.org/drawingml/2006/picture">
                <pic:pic>
                  <pic:nvPicPr>
                    <pic:cNvPr descr="07_phase2_bounded_vs_unbounded_aggressive.png" id="55" name="Picture"/>
                    <pic:cNvPicPr>
                      <a:picLocks noChangeArrowheads="1" noChangeAspect="1"/>
                    </pic:cNvPicPr>
                  </pic:nvPicPr>
                  <pic:blipFill>
                    <a:blip r:embed="rId53"/>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6"/>
    <w:bookmarkStart w:id="63"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8" name="Picture"/>
            <a:graphic>
              <a:graphicData uri="http://schemas.openxmlformats.org/drawingml/2006/picture">
                <pic:pic>
                  <pic:nvPicPr>
                    <pic:cNvPr descr="14_nash_convergence_compare.png" id="59" name="Picture"/>
                    <pic:cNvPicPr>
                      <a:picLocks noChangeArrowheads="1" noChangeAspect="1"/>
                    </pic:cNvPicPr>
                  </pic:nvPicPr>
                  <pic:blipFill>
                    <a:blip r:embed="rId57"/>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1" name="Picture"/>
            <a:graphic>
              <a:graphicData uri="http://schemas.openxmlformats.org/drawingml/2006/picture">
                <pic:pic>
                  <pic:nvPicPr>
                    <pic:cNvPr descr="10_param_drift_unbounded_aggressive.png" id="62" name="Picture"/>
                    <pic:cNvPicPr>
                      <a:picLocks noChangeArrowheads="1" noChangeAspect="1"/>
                    </pic:cNvPicPr>
                  </pic:nvPicPr>
                  <pic:blipFill>
                    <a:blip r:embed="rId60"/>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3"/>
    <w:bookmarkStart w:id="68"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4"/>
      </w:r>
      <w:r>
        <w:t xml:space="preserve">,</w:t>
      </w:r>
      <w:r>
        <w:t xml:space="preserve"> </w:t>
      </w:r>
      <w:r>
        <w:t xml:space="preserve">PFR</w:t>
      </w:r>
      <w:r>
        <w:rPr>
          <w:rStyle w:val="FootnoteReference"/>
        </w:rPr>
        <w:footnoteReference w:id="65"/>
      </w:r>
      <w:r>
        <w:t xml:space="preserve">, and</w:t>
      </w:r>
      <w:r>
        <w:t xml:space="preserve"> </w:t>
      </w:r>
      <w:r>
        <w:t xml:space="preserve">AF</w:t>
      </w:r>
      <w:r>
        <w:rPr>
          <w:rStyle w:val="FootnoteReference"/>
        </w:rPr>
        <w:footnoteReference w:id="66"/>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7"/>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8"/>
    <w:bookmarkStart w:id="77"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0" name="Picture"/>
            <a:graphic>
              <a:graphicData uri="http://schemas.openxmlformats.org/drawingml/2006/picture">
                <pic:pic>
                  <pic:nvPicPr>
                    <pic:cNvPr descr="03_economic_inversion.png" id="71" name="Picture"/>
                    <pic:cNvPicPr>
                      <a:picLocks noChangeArrowheads="1" noChangeAspect="1"/>
                    </pic:cNvPicPr>
                  </pic:nvPicPr>
                  <pic:blipFill>
                    <a:blip r:embed="rId69"/>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905043"/>
            <wp:effectExtent b="0" l="0" r="0" t="0"/>
            <wp:docPr descr="" title="" id="73" name="Picture"/>
            <a:graphic>
              <a:graphicData uri="http://schemas.openxmlformats.org/drawingml/2006/picture">
                <pic:pic>
                  <pic:nvPicPr>
                    <pic:cNvPr descr="06_tma_by_archetype.png" id="74" name="Picture"/>
                    <pic:cNvPicPr>
                      <a:picLocks noChangeArrowheads="1" noChangeAspect="1"/>
                    </pic:cNvPicPr>
                  </pic:nvPicPr>
                  <pic:blipFill>
                    <a:blip r:embed="rId72"/>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5"/>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6"/>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7"/>
    <w:bookmarkEnd w:id="78"/>
    <w:bookmarkStart w:id="83" w:name="discussion"/>
    <w:p>
      <w:pPr>
        <w:pStyle w:val="Heading1"/>
      </w:pPr>
      <w:r>
        <w:rPr>
          <w:rStyle w:val="SectionNumber"/>
        </w:rPr>
        <w:t xml:space="preserve">5</w:t>
      </w:r>
      <w:r>
        <w:tab/>
      </w:r>
      <w:r>
        <w:t xml:space="preserve">Discussion</w:t>
      </w:r>
    </w:p>
    <w:p>
      <w:pPr>
        <w:pStyle w:val="FirstParagraph"/>
      </w:pPr>
      <w:r>
        <w:t xml:space="preserve">The headline of this study is deliberately uncomfortable: across</w:t>
      </w:r>
      <w:r>
        <w:t xml:space="preserve"> </w:t>
      </w:r>
      <w:r>
        <w:t xml:space="preserve">every agent design we tested, being trusted was a financial</w:t>
      </w:r>
      <w:r>
        <w:t xml:space="preserve"> </w:t>
      </w:r>
      <w:r>
        <w:t xml:space="preserve">liability rather than an asset, and we could not optimise that</w:t>
      </w:r>
      <w:r>
        <w:t xml:space="preserve"> </w:t>
      </w:r>
      <w:r>
        <w:t xml:space="preserve">liability away—we could only reason it away. That distinction is</w:t>
      </w:r>
      <w:r>
        <w:t xml:space="preserve"> </w:t>
      </w:r>
      <w:r>
        <w:t xml:space="preserve">the paper’s central contribution. The sections below trace why the</w:t>
      </w:r>
      <w:r>
        <w:t xml:space="preserve"> </w:t>
      </w:r>
      <w:r>
        <w:t xml:space="preserve">trap forms, why numerical adaptation cannot escape it, and why</w:t>
      </w:r>
      <w:r>
        <w:t xml:space="preserve"> </w:t>
      </w:r>
      <w:r>
        <w:t xml:space="preserve">explicit reasoning can, while being candid about the limits of a</w:t>
      </w:r>
      <w:r>
        <w:t xml:space="preserve"> </w:t>
      </w:r>
      <w:r>
        <w:t xml:space="preserve">five-seed study.</w:t>
      </w:r>
    </w:p>
    <w:bookmarkStart w:id="79"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9"/>
    <w:bookmarkStart w:id="80"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0"/>
    <w:bookmarkStart w:id="81"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1"/>
    <w:bookmarkStart w:id="82"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w:t>
      </w:r>
      <w:r>
        <w:t xml:space="preserve"> </w:t>
      </w:r>
      <w:r>
        <w:t xml:space="preserve">The canonical test is a</w:t>
      </w:r>
      <w:r>
        <w:t xml:space="preserve"> </w:t>
      </w:r>
      <w:r>
        <w:t xml:space="preserve">one-sample</w:t>
      </w:r>
      <w:r>
        <w:t xml:space="preserve"> </w:t>
      </w:r>
      <m:oMath>
        <m:r>
          <m:t>t</m:t>
        </m:r>
      </m:oMath>
      <w:r>
        <w:t xml:space="preserve">-test of the five per-seed</w:t>
      </w:r>
      <w:r>
        <w:t xml:space="preserve"> </w:t>
      </w:r>
      <m:oMath>
        <m:sSub>
          <m:e>
            <m:r>
              <m:t>r</m:t>
            </m:r>
          </m:e>
          <m:sub>
            <m:r>
              <m:rPr>
                <m:sty m:val="p"/>
              </m:rPr>
              <m:t>t</m:t>
            </m:r>
            <m:r>
              <m:rPr>
                <m:sty m:val="p"/>
              </m:rPr>
              <m:t>p</m:t>
            </m:r>
          </m:sub>
        </m:sSub>
      </m:oMath>
      <w:r>
        <w:t xml:space="preserve"> </w:t>
      </w:r>
      <w:r>
        <w:t xml:space="preserve">values against zero</w:t>
      </w:r>
      <w:r>
        <w:t xml:space="preserve"> </w:t>
      </w:r>
      <w:r>
        <w:t xml:space="preserve">(df</w:t>
      </w:r>
      <w:r>
        <w:t xml:space="preserve"> </w:t>
      </w:r>
      <m:oMath>
        <m:r>
          <m:rPr>
            <m:sty m:val="p"/>
          </m:rPr>
          <m:t>=</m:t>
        </m:r>
        <m:r>
          <m:t>4</m:t>
        </m:r>
      </m:oMath>
      <w:r>
        <w:t xml:space="preserve">,</w:t>
      </w:r>
      <w:r>
        <w:t xml:space="preserve"> </w:t>
      </w:r>
      <m:oMath>
        <m:sSub>
          <m:e>
            <m:r>
              <m:t>T</m:t>
            </m:r>
          </m:e>
          <m:sub>
            <m:r>
              <m:rPr>
                <m:nor/>
                <m:sty m:val="p"/>
              </m:rPr>
              <m:t>crit</m:t>
            </m:r>
          </m:sub>
        </m:sSub>
        <m:r>
          <m:rPr>
            <m:sty m:val="p"/>
          </m:rPr>
          <m:t>=</m:t>
        </m:r>
        <m:r>
          <m:t>2.776</m:t>
        </m:r>
      </m:oMath>
      <w:r>
        <w:t xml:space="preserve">); significance therefore depends</w:t>
      </w:r>
      <w:r>
        <w:t xml:space="preserve"> </w:t>
      </w:r>
      <w:r>
        <w:t xml:space="preserve">on the between-seed standard deviation rather than on any fixed</w:t>
      </w:r>
      <w:r>
        <w:t xml:space="preserve"> </w:t>
      </w:r>
      <w:r>
        <w:t xml:space="preserve">critical correlation, and we do not treat</w:t>
      </w:r>
      <w:r>
        <w:t xml:space="preserve"> </w:t>
      </w:r>
      <m:oMath>
        <m:sSub>
          <m:e>
            <m:r>
              <m:t>r</m:t>
            </m:r>
          </m:e>
          <m:sub>
            <m:r>
              <m:rPr>
                <m:sty m:val="p"/>
              </m:rPr>
              <m:t>t</m:t>
            </m:r>
            <m:r>
              <m:rPr>
                <m:sty m:val="p"/>
              </m:rPr>
              <m:t>p</m:t>
            </m:r>
          </m:sub>
        </m:sSub>
      </m:oMath>
      <w:r>
        <w:t xml:space="preserve"> </w:t>
      </w:r>
      <w:r>
        <w:t xml:space="preserve">as though it were</w:t>
      </w:r>
      <w:r>
        <w:t xml:space="preserve"> </w:t>
      </w:r>
      <w:r>
        <w:t xml:space="preserve">itself a five-point correlation.</w:t>
      </w:r>
      <w:r>
        <w:t xml:space="preserve"> </w:t>
      </w:r>
      <w:r>
        <w:t xml:space="preserve">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2"/>
    <w:bookmarkEnd w:id="83"/>
    <w:bookmarkStart w:id="84"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4"/>
    <w:bookmarkStart w:id="106" w:name="sources-and-acknowledgments"/>
    <w:p>
      <w:pPr>
        <w:pStyle w:val="Heading1"/>
      </w:pPr>
      <w:r>
        <w:t xml:space="preserve">Sources and Acknowledgments</w:t>
      </w:r>
    </w:p>
    <w:bookmarkStart w:id="90"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5"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5"/>
    <w:bookmarkStart w:id="86"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6"/>
    <w:bookmarkStart w:id="87"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7"/>
    <w:bookmarkStart w:id="89"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8">
        <w:r>
          <w:rPr>
            <w:rStyle w:val="Hyperlink"/>
          </w:rPr>
          <w:t xml:space="preserve">https://github.com/RachitAgrawal146/Poker_trust</w:t>
        </w:r>
      </w:hyperlink>
      <w:r>
        <w:t xml:space="preserve">.</w:t>
      </w:r>
    </w:p>
    <w:bookmarkEnd w:id="89"/>
    <w:bookmarkEnd w:id="90"/>
    <w:bookmarkStart w:id="91" w:name="references"/>
    <w:p>
      <w:pPr>
        <w:pStyle w:val="Heading2"/>
      </w:pPr>
      <w:r>
        <w:t xml:space="preserve">References</w:t>
      </w:r>
    </w:p>
    <w:bookmarkEnd w:id="91"/>
    <w:bookmarkStart w:id="105" w:name="supplementary-materials"/>
    <w:p>
      <w:pPr>
        <w:pStyle w:val="Heading2"/>
      </w:pPr>
      <w:r>
        <w:t xml:space="preserve">Supplementary Materials</w:t>
      </w:r>
    </w:p>
    <w:p>
      <w:pPr>
        <w:numPr>
          <w:ilvl w:val="0"/>
          <w:numId w:val="1002"/>
        </w:numPr>
      </w:pPr>
      <w:r>
        <w:t xml:space="preserve">Bayesian update worked example:</w:t>
      </w:r>
    </w:p>
    <w:p>
      <w:pPr>
        <w:numPr>
          <w:ilvl w:val="0"/>
          <w:numId w:val="1002"/>
        </w:numPr>
      </w:pPr>
      <w:r>
        <w:t xml:space="preserve">Identifiability ceiling derivation:</w:t>
      </w:r>
      <w:r>
        <w:br/>
      </w:r>
    </w:p>
    <w:p>
      <w:pPr>
        <w:numPr>
          <w:ilvl w:val="0"/>
          <w:numId w:val="1002"/>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2"/>
        </w:numPr>
      </w:pPr>
      <w:r>
        <w:t xml:space="preserve">Methods disclosures (temperature, side-pot, CIs):</w:t>
      </w:r>
      <w:r>
        <w:br/>
      </w:r>
    </w:p>
    <w:p>
      <w:pPr>
        <w:numPr>
          <w:ilvl w:val="0"/>
          <w:numId w:val="1002"/>
        </w:numPr>
      </w:pPr>
      <w:r>
        <w:t xml:space="preserve">Bootstrap and Fisher-</w:t>
      </w:r>
      <m:oMath>
        <m:r>
          <m:t>z</m:t>
        </m:r>
      </m:oMath>
      <w:r>
        <w:t xml:space="preserve"> </w:t>
      </w:r>
      <w:r>
        <w:t xml:space="preserve">CI table:</w:t>
      </w:r>
      <w:r>
        <w:br/>
      </w:r>
    </w:p>
    <w:bookmarkStart w:id="104" w:name="refs"/>
    <w:bookmarkStart w:id="92"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2"/>
    <w:bookmarkStart w:id="93"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3"/>
    <w:bookmarkStart w:id="94"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4"/>
    <w:bookmarkStart w:id="95"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5"/>
    <w:bookmarkStart w:id="96"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6"/>
    <w:bookmarkStart w:id="97"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7"/>
    <w:bookmarkStart w:id="98"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8"/>
    <w:bookmarkStart w:id="99"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9"/>
    <w:bookmarkStart w:id="100"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0"/>
    <w:bookmarkStart w:id="101"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1"/>
    <w:bookmarkStart w:id="102"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2"/>
    <w:bookmarkStart w:id="103"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3"/>
    <w:bookmarkEnd w:id="104"/>
    <w:bookmarkEnd w:id="105"/>
    <w:bookmarkEnd w:id="106"/>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8">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9">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40">
    <w:p>
      <w:pPr>
        <w:pStyle w:val="FootnoteText"/>
      </w:pPr>
      <w:r>
        <w:rPr>
          <w:rStyle w:val="FootnoteReference"/>
        </w:rPr>
        <w:footnoteRef/>
      </w:r>
      <w:r>
        <w:t xml:space="preserve"> </w:t>
      </w:r>
      <w:r>
        <w:rPr>
          <w:iCs/>
          <w:i/>
        </w:rPr>
        <w:t xml:space="preserve">OA</w:t>
      </w:r>
      <w:r>
        <w:t xml:space="preserve"> </w:t>
      </w:r>
      <w:r>
        <w:t xml:space="preserve">(Opponent Adaptability): the variance of an agent’s</w:t>
      </w:r>
      <w:r>
        <w:t xml:space="preserve"> </w:t>
      </w:r>
      <w:r>
        <w:t xml:space="preserve">aggression rate across different opponents.</w:t>
      </w:r>
    </w:p>
  </w:footnote>
  <w:footnote w:id="41">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4">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8">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9">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2">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4">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5">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6">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7">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5">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6">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69" Type="http://schemas.openxmlformats.org/officeDocument/2006/relationships/image" Target="media/rId69.png"/><Relationship Id="rId45" Type="http://schemas.openxmlformats.org/officeDocument/2006/relationships/image" Target="media/rId45.png"/><Relationship Id="rId72" Type="http://schemas.openxmlformats.org/officeDocument/2006/relationships/image" Target="media/rId72.png"/><Relationship Id="rId53" Type="http://schemas.openxmlformats.org/officeDocument/2006/relationships/image" Target="media/rId53.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2026-06-16T03:13:15Z</dcterms:created>
  <dcterms:modified xsi:type="dcterms:W3CDTF">2026-06-16T03:13:15Z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