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introduction"/>
    <w:p>
      <w:pPr>
        <w:spacing w:after="120"/>
      </w:pPr>
      <w:r>
        <w:rPr>
          <w:rFonts w:ascii="Arial" w:hAnsi="Arial"/>
          <w:b/>
          <w:sz w:val="19"/>
          <w:color w:val="FFFFFF"/>
          <w:shd w:val="clear" w:color="auto" w:fill="C8102E"/>
        </w:rPr>
        <w:t xml:space="preserve"> RESEARCH ARTICLE </w:t>
      </w:r>
    </w:p>
    <w:p>
      <w:pPr>
        <w:spacing w:after="100"/>
      </w:pPr>
      <w:r>
        <w:rPr>
          <w:rFonts w:ascii="Arial" w:hAnsi="Arial"/>
          <w:b/>
          <w:sz w:val="18"/>
          <w:color w:val="C8102E"/>
        </w:rPr>
        <w:t xml:space="preserve">COMPUTER SCIENCE | GAME THEORY</w:t>
      </w:r>
    </w:p>
    <w:p>
      <w:pPr>
        <w:spacing w:after="160"/>
      </w:pPr>
      <w:r>
        <w:rPr>
          <w:rFonts w:ascii="Times New Roman" w:hAnsi="Times New Roman"/>
          <w:b/>
          <w:sz w:val="36"/>
          <w:color w:val="000000"/>
        </w:rPr>
        <w:t xml:space="preserve">Trust Dynamics in Multi-Agent Strategic Interaction: A Simulation Study of Bayesian Reputation Systems in 8-Player Limit Texas Hold’em</w:t>
      </w:r>
    </w:p>
    <w:p>
      <w:pPr>
        <w:spacing w:after="40"/>
      </w:pPr>
      <w:r>
        <w:rPr>
          <w:rFonts w:ascii="Times New Roman" w:hAnsi="Times New Roman"/>
          <w:b/>
          <w:sz w:val="22"/>
          <w:color w:val="000000"/>
        </w:rPr>
        <w:t xml:space="preserve">Rachit Agrawal</w:t>
      </w:r>
    </w:p>
    <w:p>
      <w:pPr>
        <w:spacing w:after="200"/>
      </w:pPr>
      <w:r>
        <w:rPr>
          <w:rFonts w:ascii="Times New Roman" w:hAnsi="Times New Roman"/>
          <w:i/>
          <w:sz w:val="17"/>
          <w:color w:val="000000"/>
        </w:rPr>
        <w:t xml:space="preserve">Independent research, 2025–2026. Correspondence: rachit.agrawal@sahyadrischool.org</w:t>
      </w:r>
    </w:p>
    <w:p>
      <w:pPr>
        <w:shd w:val="clear" w:color="auto" w:fill="EDEDED"/>
        <w:spacing w:after="60"/>
      </w:pPr>
      <w:r>
        <w:rPr>
          <w:rFonts w:ascii="Arial" w:hAnsi="Arial"/>
          <w:b/>
          <w:sz w:val="20"/>
        </w:rPr>
        <w:t>ABSTRACT</w:t>
      </w:r>
    </w:p>
    <w:p>
      <w:pPr>
        <w:shd w:val="clear" w:color="auto" w:fill="EDEDED"/>
        <w:spacing w:after="200"/>
      </w:pPr>
      <w:r>
        <w:rPr>
          <w:rFonts w:ascii="Arial" w:hAnsi="Arial"/>
          <w:b/>
          <w:sz w:val="19"/>
        </w:rPr>
        <w:t xml:space="preserve">Reputation systems that infer trustworthiness from observed behavior are widespread in online marketplaces, social networks, and financial platforms, where prior empirical work documents a transparency paradox: agents with perfectly visible cooperative records sometimes earn lower returns than agents with imperfect records. We provide a controlled generative test of this dynamic in a simulation of 8-player fixed-limit Texas Hold’em poker in which every agent maintains a categorical posterior over the archetype of every other agent and updates it after each observed action. We deploy four agent architectures against the same game environment and posterior: frozen rule-based archetypes, bounded online hill-climbing, large-language-model role-players, and language models augmented with chain-of-thought, per-opponent memory, and self-updated strategy notes. Across 5 random seeds per phase, the Pearson correlation between trust and final stack falls along a four-tier ladder (r = −0.752 ± 0.073; −0.637 ± 0.125; −0.510 ± 0.268; −0.094 ± 0.301); the 95% bootstrap interval for the final tier is [−0.32, +0.20], consistent with substantial but not necessarily complete attenuation. A sub-experiment with unbounded hill-climbing at 11× greater parameter drift shifts the correlation by only +0.028, evidence against the hypothesis that the trap is a bound-box artifact in this simulation. We interpret the results as preliminary evidence that, in our zero-sum testbed, observation-based reputation rewards exploitation under simple agent policies and that reasoning scaffolds substantially attenuate the effect; whether the attenuation reflects a structural property of reasoning or a small-sample artifact of the Phase 3.1 run (n=5 seeds, 150 hands/seed) is left to a larger replication.</w:t>
      </w:r>
    </w:p>
    <w:p>
      <w:pPr>
        <w:spacing w:before="60" w:after="120"/>
        <w:pBdr>
          <w:bottom w:val="single" w:sz="4" w:space="4" w:color="BBBBBB"/>
        </w:pBdr>
      </w:pPr>
    </w:p>
    <w:p>
      <w:pPr>
        <w:pStyle w:val="Heading1"/>
        <w:jc w:val="left"/>
        <w:pBdr>
          <w:left w:val="single" w:sz="18" w:space="6" w:color="C8102E"/>
        </w:pBdr>
      </w:pPr>
      <w:r>
        <w:rPr>
          <w:rStyle w:val="SectionNumber"/>
          <w:rFonts w:ascii="Arial" w:hAnsi="Arial"/>
          <w:b/>
          <w:color w:val="000000"/>
          <w:sz w:val="23"/>
        </w:rPr>
        <w:t>1</w:t>
      </w:r>
      <w:r>
        <w:rPr>
          <w:rFonts w:ascii="Arial" w:hAnsi="Arial"/>
          <w:b/>
          <w:color w:val="000000"/>
          <w:sz w:val="23"/>
        </w:rPr>
        <w:tab/>
      </w:r>
      <w:r>
        <w:rPr>
          <w:rFonts w:ascii="Arial" w:hAnsi="Arial"/>
          <w:b/>
          <w:color w:val="000000"/>
          <w:sz w:val="23"/>
        </w:rPr>
        <w:t>INTRODUCTION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Trust is the law that governs every interaction you have with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people around you — every business deal, every bank loan, every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purchase, and even relationships. In today’s reputation system,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Amazon shows product reviews, banks check credit scores, and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Reddit prefers posts that get a lot of attention. Suppose you have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two real estate developers. The first one is working on their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first project. They are new in the market. The second one is an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established firm with good reviews and good history. Who do you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trust to build your dream home with your life’s savings? So 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visible reputation system seems like a win-win situation: it is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easy for you to do the right thing, and the trusted agents are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rewarded.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But this transparency comes with a contradiction. A trusted agent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by definition almost predictable. When cooperation is expected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 is right, they cooperate. And because everyone knows that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 overt environment, opponents can plan around them. That’s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obvious in the real world. eBay sellers with a perfect rating may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have a lower profit margin than those with a slightly imperfect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rating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. The reason is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buyer knows the perfect-rated seller won’t risk their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reputation, so the posted price is already the lowest they’d go.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So it is the seller’s perfect past that sinks them. It’s the same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 market makers in high-frequency trading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. Predictability can be exploited.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We wanted to test this in a controlled environment where we could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modify and choose each feature of the environment, like the rules,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agents and trust dynamics themselves, and see for ourselves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how they would evolve over time. We can draw conclusions from real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economic data, but we cannot run controlled experiments. We wanted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to know whether reputation systems that infer trust from behaviour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end up rewarding exploitation. Is the system’s loss of trust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economically optimal? Is the answer more dependent on the design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of the trust system or the design of the characters themselves?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Poker turned out to be the perfect environment to try this out.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Each hand is a set of interactions that can be directly mapped to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real-life interactions — there is some hidden information (a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player’s private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“</w:t>
      </w:r>
      <w:r>
        <w:rPr>
          <w:rFonts w:ascii="Times New Roman" w:hAnsi="Times New Roman"/>
          <w:sz w:val="20"/>
        </w:rPr>
        <w:t xml:space="preserve">hole</w:t>
      </w:r>
      <w:r>
        <w:rPr>
          <w:rFonts w:ascii="Times New Roman" w:hAnsi="Times New Roman"/>
          <w:sz w:val="20"/>
        </w:rPr>
        <w:t xml:space="preserve">”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cards</w:t>
      </w:r>
      <w:r>
        <w:rPr>
          <w:rStyle w:val="FootnoteReference"/>
          <w:rFonts w:ascii="Times New Roman" w:hAnsi="Times New Roman"/>
          <w:sz w:val="20"/>
        </w:rPr>
        <w:footnoteReference w:id="20"/>
      </w:r>
      <w:r>
        <w:rPr>
          <w:rFonts w:ascii="Times New Roman" w:hAnsi="Times New Roman"/>
          <w:sz w:val="20"/>
        </w:rPr>
        <w:t xml:space="preserve">),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public actions (bets, calls and folds visible to everyone at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table) and an action space large enough that both cooperative and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exploitative strategies are possible. We worked with fixed-limit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Texas Hold’em</w:t>
      </w:r>
      <w:r>
        <w:rPr>
          <w:rStyle w:val="FootnoteReference"/>
          <w:rFonts w:ascii="Times New Roman" w:hAnsi="Times New Roman"/>
          <w:sz w:val="20"/>
        </w:rPr>
        <w:footnoteReference w:id="21"/>
      </w:r>
      <w:r>
        <w:rPr>
          <w:rFonts w:ascii="Times New Roman" w:hAnsi="Times New Roman"/>
          <w:sz w:val="20"/>
        </w:rPr>
        <w:t xml:space="preserve">, where both the bet sizes and action space are small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enough to make the inference math tractable. We use it as 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behavioural microscope, not as a benchmark to solve.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Specifically, we built an 8-player simulation in which every agent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maintains a perception about the others with a probability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distribution to understand whether the opponent is 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“</w:t>
      </w:r>
      <w:r>
        <w:rPr>
          <w:rFonts w:ascii="Times New Roman" w:hAnsi="Times New Roman"/>
          <w:sz w:val="20"/>
        </w:rPr>
        <w:t xml:space="preserve">tight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player who only plays strong hands</w:t>
      </w:r>
      <w:r>
        <w:rPr>
          <w:rFonts w:ascii="Times New Roman" w:hAnsi="Times New Roman"/>
          <w:sz w:val="20"/>
        </w:rPr>
        <w:t xml:space="preserve">”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or 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“</w:t>
      </w:r>
      <w:r>
        <w:rPr>
          <w:rFonts w:ascii="Times New Roman" w:hAnsi="Times New Roman"/>
          <w:sz w:val="20"/>
        </w:rPr>
        <w:t xml:space="preserve">loose maniac who bets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 a deuce-seven</w:t>
      </w:r>
      <w:r>
        <w:rPr>
          <w:rFonts w:ascii="Times New Roman" w:hAnsi="Times New Roman"/>
          <w:sz w:val="20"/>
        </w:rPr>
        <w:t xml:space="preserve">”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 so on. After every action, the agents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update their belief systems. Trust is the honesty that we expect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from an adversary, according to our level of confidence in their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archetype. Then, we calculate the Pearson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correlation</w:t>
      </w:r>
      <w:r>
        <w:rPr>
          <w:rStyle w:val="FootnoteReference"/>
          <w:rFonts w:ascii="Times New Roman" w:hAnsi="Times New Roman"/>
          <w:sz w:val="20"/>
        </w:rPr>
        <w:footnoteReference w:id="22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between the economic return (the chips earned)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 the trust coefficient. We vary the nature of the agents as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they become progressively more complex. They start off as frozen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rule-based agents that do not evolve. Then we move on to ML agents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that try to optimise their strategies locally. They then become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language models with the ability to reason and retain context.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game and the trust system are the same, whereas only the agents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change.</w:t>
      </w:r>
    </w:p>
    <w:p>
      <w:pPr>
        <w:pStyle w:val="BodyText"/>
      </w:pPr>
      <w:r>
        <w:rPr>
          <w:rFonts w:ascii="Times New Roman" w:hAnsi="Times New Roman"/>
          <w:sz w:val="20"/>
        </w:rPr>
        <w:drawing>
          <wp:inline>
            <wp:extent cx="4907280" cy="2518536"/>
            <wp:effectExtent b="0" l="0" r="0" t="0"/>
            <wp:docPr descr="image" title="" id="24" name="Picture"/>
            <a:graphic>
              <a:graphicData uri="http://schemas.openxmlformats.org/drawingml/2006/picture">
                <pic:pic>
                  <pic:nvPicPr>
                    <pic:cNvPr descr="01b_five_tier_ladder_with_unbound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518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tab:ladder"/>
    <w:p>
      <w:pPr>
        <w:pStyle w:val="TableCaption"/>
      </w:pPr>
      <w:r>
        <w:rPr>
          <w:rFonts w:ascii="Arial" w:hAnsi="Arial"/>
          <w:sz w:val="18"/>
        </w:rPr>
        <w:t xml:space="preserve">Per-seed Pearson r between mean trust score (final hand) and final stack across the four agent architectures. Phase 3.1 (LLM agents with chain-of-thought, opponent memory, and adaptive strategy notes) breaks the trap: the mean r is statistically indistinguishable from zero at</w:t>
      </w:r>
      <w:r>
        <w:rPr>
          <w:rFonts w:ascii="Arial" w:hAnsi="Arial"/>
          <w:sz w:val="18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18"/>
        </w:rPr>
        <w:t xml:space="preserve">.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Caption w:val="Per-seed Pearson r between mean trust score (final hand) and final stack across the four agent architectures. Phase 3.1 (LLM agents with chain-of-thought, opponent memory, and adaptive strategy notes) breaks the trap: the mean r is statistically indistinguishable from zero at n=5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P1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P2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P3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P3.1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-0.774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-0.759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-0.884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-0.289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-0.608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-0.424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-0.525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-0.338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-0.792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-0.812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-0.712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+0.047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1024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-0.776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-0.564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-0.259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+0.435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-0.752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-0.637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-0.510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std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0.268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0.301</w:t>
            </w:r>
          </w:p>
        </w:tc>
      </w:tr>
    </w:tbl>
    <w:bookmarkEnd w:id="26"/>
    <w:p>
      <w:pPr>
        <w:pStyle w:val="BodyText"/>
      </w:pPr>
      <w:r>
        <w:rPr>
          <w:rFonts w:ascii="Times New Roman" w:hAnsi="Times New Roman"/>
          <w:sz w:val="20"/>
        </w:rPr>
        <w:br/>
      </w:r>
      <w:r>
        <w:rPr>
          <w:iCs/>
          <w:rFonts w:ascii="Times New Roman" w:hAnsi="Times New Roman"/>
          <w:i/>
          <w:sz w:val="20"/>
        </w:rPr>
        <w:t xml:space="preserve">P1</w:t>
      </w:r>
      <w:r>
        <w:rPr>
          <w:iCs/>
          <w:rFonts w:ascii="Times New Roman" w:hAnsi="Times New Roman"/>
          <w:i/>
          <w:sz w:val="20"/>
        </w:rPr>
        <w:t xml:space="preserve"> </w:t>
      </w:r>
      <m:oMath>
        <m:r>
          <m:rPr>
            <m:sty m:val="p"/>
          </m:rPr>
          <m:t>→</m:t>
        </m:r>
      </m:oMath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P3.1:</w:t>
      </w:r>
      <w:r>
        <w:rPr>
          <w:iCs/>
          <w:rFonts w:ascii="Times New Roman" w:hAnsi="Times New Roman"/>
          <w:i/>
          <w:sz w:val="20"/>
        </w:rPr>
        <w:t xml:space="preserve"> </w:t>
      </w:r>
      <m:oMath>
        <m: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0.658</m:t>
        </m:r>
      </m:oMath>
      <w:r>
        <w:rPr>
          <w:iCs/>
          <w:rFonts w:ascii="Times New Roman" w:hAnsi="Times New Roman"/>
          <w:i/>
          <w:sz w:val="20"/>
        </w:rPr>
        <w:t xml:space="preserve">, larger than all intermediate steps combined.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The trust–profit correlation evolves in four distinct phases,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falling from a strongly negative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−</m:t>
        </m:r>
        <m:r>
          <m:t>0.752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under frozen agents to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roughly zero under the final LLM models that have context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awareness and memory. The ladder is the most robust thing we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measure (Fig. </w:t>
      </w:r>
      <w:hyperlink w:anchor="fig:headline">
        <w:r>
          <w:rPr>
            <w:rStyle w:val="Hyperlink"/>
          </w:rPr>
          <w:t xml:space="preserve">[fig:headline]</w:t>
        </w:r>
      </w:hyperlink>
      <w:r>
        <w:rPr>
          <w:rFonts w:ascii="Times New Roman" w:hAnsi="Times New Roman"/>
          <w:sz w:val="20"/>
        </w:rPr>
        <w:t xml:space="preserve">, Table </w:t>
      </w:r>
      <w:hyperlink w:anchor="tab:ladder">
        <w:r>
          <w:rPr>
            <w:rStyle w:val="Hyperlink"/>
          </w:rPr>
          <w:t xml:space="preserve">1</w:t>
        </w:r>
      </w:hyperlink>
      <w:r>
        <w:rPr>
          <w:rFonts w:ascii="Times New Roman" w:hAnsi="Times New Roman"/>
          <w:sz w:val="20"/>
        </w:rPr>
        <w:t xml:space="preserve">).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Because we only run five seeds per phase, the absolute numbers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carry uncertainty, but the rank ordering is robust. That ordering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tells us that while the dumber rule-based agents are easily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exploited, the smarter LLM models are able to escape this trap.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The paper is organised as follows. In Section 2, we review three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lines of previous research that converge on this topic.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Section 3 we describe the game, the eight archetypes and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mathematical bounds for each, the trust posterior, and the four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agent architectures. The results, including figures and example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hands in the analysis, are presented in Section 4. We describe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mechanisms in detail in Section 5. In Section 6 we discuss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limitations of our study. The final section, Section 7, is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conclusion.</w:t>
      </w:r>
    </w:p>
    <w:bookmarkEnd w:id="27"/>
    <w:bookmarkStart w:id="30" w:name="background"/>
    <w:p>
      <w:pPr>
        <w:pStyle w:val="Heading1"/>
        <w:jc w:val="left"/>
        <w:pBdr>
          <w:left w:val="single" w:sz="18" w:space="6" w:color="C8102E"/>
        </w:pBdr>
      </w:pPr>
      <w:r>
        <w:rPr>
          <w:rStyle w:val="SectionNumber"/>
          <w:rFonts w:ascii="Arial" w:hAnsi="Arial"/>
          <w:b/>
          <w:color w:val="000000"/>
          <w:sz w:val="23"/>
        </w:rPr>
        <w:t>2</w:t>
      </w:r>
      <w:r>
        <w:rPr>
          <w:rFonts w:ascii="Arial" w:hAnsi="Arial"/>
          <w:b/>
          <w:color w:val="000000"/>
          <w:sz w:val="23"/>
        </w:rPr>
        <w:tab/>
      </w:r>
      <w:r>
        <w:rPr>
          <w:rFonts w:ascii="Arial" w:hAnsi="Arial"/>
          <w:b/>
          <w:color w:val="000000"/>
          <w:sz w:val="23"/>
        </w:rPr>
        <w:t>BACKGROUND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We have four different strands of work that came together to help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us understand and answer our questions. We go through them in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order they bear on the design of our simulation.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The first line is empirical economics of online reputation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systems. One of the first papers to study what would become known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as the transparency paradox on a large scale was Resnick and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Zeckhauser’s study of eBay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. Sellers with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perfect feedback scores tend to earn lower profit margins than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sellers with slightly imperfect records. The reason is simple: if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 seller always cooperates, they don’t move from the listed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price — negative reviews would threaten the seller’s perfect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record — so buyers rightly conclude that this seller will never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jeopardise the reputation by, say, offering a better price off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books or going above and beyond on returns. That leaves the buyer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the better bargaining position. Bolton, Katok and Ockenfels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later tried to replicate this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controlled trust games. A similar dynamic in the microstructure of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financial markets, adverse selection against predictable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market-makers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, produces the same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qualitative pattern not by reputation per se but through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information asymmetry. The mechanism is observational but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consistent: visible cooperation can be exploited when opponents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can act around it. It therefore provides evidence for the presence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of this effect in real-world marketplaces. What it can’t tell us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whether the effect would persist if the cooperative actors were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smarter, since the experimenters can’t reengineer the seller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population.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The second area is theory and computation of cooperation in games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 repeated interactions. This was studied in the Prisoner’s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Dilemma in Axelrod’s tournaments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Nowak’s five rules for cooperation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. They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demonstrated that reciprocal strategies like Tit-for-Tat are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robustly successful in pairwise interactions with simple payoff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structures, meaning an agent that cooperates by default and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punishes defection one-for-one will do well in the long run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against most opponents. Such a line of work validates our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intuition that cooperation is a strategy of competition. But two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of its assumptions do not hold in our setting. The interactions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are no longer 1-1; they are 8-way, so the cost of one agent’s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aggression is spread across seven simultaneous opponents, rather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than focused on one. And the action space is richer than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binary cooperate/defect of the Prisoner’s Dilemma. Poker allows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folding, calling, raising, bluffing</w:t>
      </w:r>
      <w:r>
        <w:rPr>
          <w:rStyle w:val="FootnoteReference"/>
          <w:rFonts w:ascii="Times New Roman" w:hAnsi="Times New Roman"/>
          <w:sz w:val="20"/>
        </w:rPr>
        <w:footnoteReference w:id="28"/>
      </w:r>
      <w:r>
        <w:rPr>
          <w:rFonts w:ascii="Times New Roman" w:hAnsi="Times New Roman"/>
          <w:sz w:val="20"/>
        </w:rPr>
        <w:t xml:space="preserve">, and slow-playing,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which gives aggressive types more degrees of freedom to extract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value. Our parallel Tit-for-Tat archetype (</w:t>
      </w:r>
      <w:r>
        <w:rPr>
          <w:bCs/>
          <w:rFonts w:ascii="Times New Roman" w:hAnsi="Times New Roman"/>
          <w:b/>
          <w:sz w:val="20"/>
        </w:rPr>
        <w:t xml:space="preserve">Mirror</w:t>
      </w:r>
      <w:r>
        <w:rPr>
          <w:rFonts w:ascii="Times New Roman" w:hAnsi="Times New Roman"/>
          <w:sz w:val="20"/>
        </w:rPr>
        <w:t xml:space="preserve">) appears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sixth place of eight in stack ordering. This could be a sign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that the results of Axelrod do not generalise fully to multi-agent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environments with richer action spaces, but we consider this to be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suggestive rather than conclusive.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The third line is Bayesian opponent modelling in poker. Billings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et al.’s Loki and Poki bots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leading the pack. Later it was formalised by Southey et al. 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as Bayesian type inference. Ganzfried and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Sandholm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generalised this to safe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opponent exploitation. It goes on to Bowling et al.’s solution of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heads-up limit Hold’em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 the superhuman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play of Libratus and Pluribus in heads-up and 6-player no-limit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Hold’em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. That work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about optimal or safely exploitative play, generally against 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single opponent or in a zero-sum setting. It’s not ours. We are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not trying to play well but to borrow the type-inference machinery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this literature uses as a controlled testbed for how reputation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dynamics arise when inference is correct, transparent and shared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across many agents. The poker engine here is a microscope, not 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competitor.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The fourth line is important because we use language models in two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of our phases. A small body of literature has begun to ask whether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large language models act strategically when they are deployed as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agents in adversarial or partially observable environments or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whether they merely reproduce the textual form of a strategy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without inventing one. Work by Park et al. on generative agents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 newer benchmarks of LLMs on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negotiation and game-playing tasks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suggests that the question remains open. We built Phase 3 (a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language model with only a personality spec) and Phase 3.1 (the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same model plus a personality spec plus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chain-of-thought</w:t>
      </w:r>
      <w:r>
        <w:rPr>
          <w:rStyle w:val="FootnoteReference"/>
          <w:rFonts w:ascii="Times New Roman" w:hAnsi="Times New Roman"/>
          <w:sz w:val="20"/>
        </w:rPr>
        <w:footnoteReference w:id="29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reasoning, per-opponent memory and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self-updated strategy notes) to directly test this distinction.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In the next section we describe the smallest controlled set-up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combining all four.</w:t>
      </w:r>
    </w:p>
    <w:bookmarkEnd w:id="30"/>
    <w:bookmarkStart w:id="42" w:name="methodology"/>
    <w:p>
      <w:pPr>
        <w:pStyle w:val="Heading1"/>
        <w:jc w:val="left"/>
        <w:pBdr>
          <w:left w:val="single" w:sz="18" w:space="6" w:color="C8102E"/>
        </w:pBdr>
      </w:pPr>
      <w:r>
        <w:rPr>
          <w:rStyle w:val="SectionNumber"/>
          <w:rFonts w:ascii="Arial" w:hAnsi="Arial"/>
          <w:b/>
          <w:color w:val="000000"/>
          <w:sz w:val="23"/>
        </w:rPr>
        <w:t>3</w:t>
      </w:r>
      <w:r>
        <w:rPr>
          <w:rFonts w:ascii="Arial" w:hAnsi="Arial"/>
          <w:b/>
          <w:color w:val="000000"/>
          <w:sz w:val="23"/>
        </w:rPr>
        <w:tab/>
      </w:r>
      <w:r>
        <w:rPr>
          <w:rFonts w:ascii="Arial" w:hAnsi="Arial"/>
          <w:b/>
          <w:color w:val="000000"/>
          <w:sz w:val="23"/>
        </w:rPr>
        <w:t>METHODOLOGY</w:t>
      </w:r>
    </w:p>
    <w:bookmarkStart w:id="35" w:name="game-environment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3.1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Game environment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The game environment is fixed across every phase of the study. We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use 8-player fixed-limit Texas Hold’em with small blind 1, big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blind 2, small bet 2 (preflop</w:t>
      </w:r>
      <w:r>
        <w:rPr>
          <w:rStyle w:val="FootnoteReference"/>
          <w:rFonts w:ascii="Times New Roman" w:hAnsi="Times New Roman"/>
          <w:sz w:val="20"/>
        </w:rPr>
        <w:footnoteReference w:id="31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flop), big bet 4 (turn and river), and a four-bet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cap</w:t>
      </w:r>
      <w:r>
        <w:rPr>
          <w:rStyle w:val="FootnoteReference"/>
          <w:rFonts w:ascii="Times New Roman" w:hAnsi="Times New Roman"/>
          <w:sz w:val="20"/>
        </w:rPr>
        <w:footnoteReference w:id="32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per street.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Each seat starts with a 200-chip stack and is granted a rebuy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whenever it busts. Showdowns</w:t>
      </w:r>
      <w:r>
        <w:rPr>
          <w:rStyle w:val="FootnoteReference"/>
          <w:rFonts w:ascii="Times New Roman" w:hAnsi="Times New Roman"/>
          <w:sz w:val="20"/>
        </w:rPr>
        <w:footnoteReference w:id="33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awarded via side pots</w:t>
      </w:r>
      <w:r>
        <w:rPr>
          <w:rStyle w:val="FootnoteReference"/>
          <w:rFonts w:ascii="Times New Roman" w:hAnsi="Times New Roman"/>
          <w:sz w:val="20"/>
        </w:rPr>
        <w:footnoteReference w:id="34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constructed at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each per-seat contribution level, with ties split and any remainder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going to the earliest clockwise seat from the dealer.</w:t>
      </w:r>
    </w:p>
    <w:bookmarkEnd w:id="35"/>
    <w:bookmarkStart w:id="37" w:name="the-eight-agent-archetypes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3.2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The eight agent archetypes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We construct eight strategically distinct archetypes spanning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axes that game theory and behavioral economics identify as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load-bearing: cooperative versus exploitative, static versus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adaptive, per-action versus per-opponent in adaptation style. Each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agent’s policy is a per-round table of action probabilities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conditioned on hand-strength bucket; the parameters of the static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archetypes are frozen across runs. Each archetype carries an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honesty score</w:t>
      </w:r>
      <w:r>
        <w:rPr>
          <w:rFonts w:ascii="Times New Roman" w:hAnsi="Times New Roman"/>
          <w:sz w:val="20"/>
        </w:rPr>
        <w:t xml:space="preserve"> </w:t>
      </w:r>
      <m:oMath>
        <m:r>
          <m:t>h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defined as</w:t>
      </w:r>
      <w:r>
        <w:rPr>
          <w:rFonts w:ascii="Times New Roman" w:hAnsi="Times New Roman"/>
          <w:sz w:val="20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bet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strong</m:t>
            </m:r>
          </m:e>
        </m: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bluff</m:t>
                </m:r>
                <m:r>
                  <m:rPr>
                    <m:sty m:val="p"/>
                  </m:rPr>
                  <m:t>∣</m:t>
                </m:r>
                <m:r>
                  <m:rPr>
                    <m:nor/>
                    <m:sty m:val="p"/>
                  </m:rPr>
                  <m:t>weak</m:t>
                </m:r>
              </m:e>
            </m:d>
          </m:e>
        </m:d>
      </m:oMath>
      <w:r>
        <w:rPr>
          <w:rFonts w:ascii="Times New Roman" w:hAnsi="Times New Roman"/>
          <w:sz w:val="20"/>
        </w:rPr>
        <w:t xml:space="preserve"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this scalar is what the trust score weights (Eq. </w:t>
      </w:r>
      <w:hyperlink w:anchor="eq:trust">
        <w:r>
          <w:rPr>
            <w:rStyle w:val="Hyperlink"/>
          </w:rPr>
          <w:t xml:space="preserve">[eq:trust]</w:t>
        </w:r>
      </w:hyperlink>
      <w:r>
        <w:rPr>
          <w:rFonts w:ascii="Times New Roman" w:hAnsi="Times New Roman"/>
          <w:sz w:val="20"/>
        </w:rPr>
        <w:t xml:space="preserve">).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Each archetype’s name is rendered in its brand color throughout,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so the reader can track which agent is being discussed. Preflop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bound ranges</w:t>
      </w:r>
      <w:r>
        <w:rPr>
          <w:rStyle w:val="FootnoteReference"/>
          <w:rFonts w:ascii="Times New Roman" w:hAnsi="Times New Roman"/>
          <w:sz w:val="20"/>
        </w:rPr>
        <w:footnoteReference w:id="36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are listed below;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full per-archetype policy bounds appear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Table </w:t>
      </w:r>
      <w:hyperlink w:anchor="tab:bounds-comprehensive">
        <w:r>
          <w:rPr>
            <w:rStyle w:val="Hyperlink"/>
          </w:rPr>
          <w:t xml:space="preserve">[tab:bounds-comprehensive]</w:t>
        </w:r>
      </w:hyperlink>
      <w:r>
        <w:rPr>
          <w:rFonts w:ascii="Times New Roman" w:hAnsi="Times New Roman"/>
          <w:sz w:val="20"/>
        </w:rPr>
        <w:t xml:space="preserve">.</w:t>
      </w:r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Oracle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w:r>
        <w:rPr>
          <w:iCs/>
          <w:rFonts w:ascii="Times New Roman" w:hAnsi="Times New Roman"/>
          <w:i/>
          <w:sz w:val="20"/>
        </w:rPr>
        <w:t xml:space="preserve">Nash-equilibrium baseline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m:oMath>
        <m:r>
          <m:t>h</m:t>
        </m:r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Plays an approximately game-theory-optimal frequency profile;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control archetype against which all adaptive agents are measured.</w:t>
      </w:r>
      <w:r>
        <w:rPr>
          <w:rFonts w:ascii="Times New Roman" w:hAnsi="Times New Roman"/>
          <w:sz w:val="20"/>
        </w:rPr>
        <w:br/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.20</m:t>
            </m:r>
            <m:r>
              <m:rPr>
                <m:sty m:val="p"/>
              </m:rPr>
              <m:t>,</m:t>
            </m:r>
            <m:r>
              <m:t>.45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 vbr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.80</m:t>
            </m:r>
            <m:r>
              <m:rPr>
                <m:sty m:val="p"/>
              </m:rPr>
              <m:t>,</m:t>
            </m:r>
            <m:r>
              <m:t>1.00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 cr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.20</m:t>
            </m:r>
            <m:r>
              <m:rPr>
                <m:sty m:val="p"/>
              </m:rPr>
              <m:t>,</m:t>
            </m:r>
            <m:r>
              <m:t>.50</m:t>
            </m:r>
          </m:e>
        </m:d>
      </m:oMath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Sentinel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Tight-aggressive (TAG)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m:oMath>
        <m:r>
          <m:t>h</m:t>
        </m:r>
        <m:r>
          <m:rPr>
            <m:sty m:val="p"/>
          </m:rPr>
          <m:t>=</m:t>
        </m:r>
        <m:r>
          <m:t>0.92</m:t>
        </m:r>
      </m:oMath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The honest player; folds most hands and bets strongly when it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enters. Bets reliably signal strength and checks reliably signal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weakness.</w:t>
      </w:r>
      <w:r>
        <w:rPr>
          <w:rFonts w:ascii="Times New Roman" w:hAnsi="Times New Roman"/>
          <w:sz w:val="20"/>
        </w:rPr>
        <w:br/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.02</m:t>
            </m:r>
            <m:r>
              <m:rPr>
                <m:sty m:val="p"/>
              </m:rPr>
              <m:t>,</m:t>
            </m:r>
            <m:r>
              <m:t>.18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 vbr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.85</m:t>
            </m:r>
            <m:r>
              <m:rPr>
                <m:sty m:val="p"/>
              </m:rPr>
              <m:t>,</m:t>
            </m:r>
            <m:r>
              <m:t>1.00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 cr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.25</m:t>
            </m:r>
            <m:r>
              <m:rPr>
                <m:sty m:val="p"/>
              </m:rPr>
              <m:t>,</m:t>
            </m:r>
            <m:r>
              <m:t>.50</m:t>
            </m:r>
          </m:e>
        </m:d>
      </m:oMath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Loose-aggressive maniac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m:oMath>
        <m:r>
          <m:t>h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The exploiter; bets and raises constantly across all hand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strengths. Wins primarily through fold equity, not showdown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skill.</w:t>
      </w:r>
      <w:r>
        <w:rPr>
          <w:rFonts w:ascii="Times New Roman" w:hAnsi="Times New Roman"/>
          <w:sz w:val="20"/>
        </w:rPr>
        <w:br/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.40</m:t>
            </m:r>
            <m:r>
              <m:rPr>
                <m:sty m:val="p"/>
              </m:rPr>
              <m:t>,</m:t>
            </m:r>
            <m:r>
              <m:t>.95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 vbr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.85</m:t>
            </m:r>
            <m:r>
              <m:rPr>
                <m:sty m:val="p"/>
              </m:rPr>
              <m:t>,</m:t>
            </m:r>
            <m:r>
              <m:t>1.00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 cr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.45</m:t>
            </m:r>
            <m:r>
              <m:rPr>
                <m:sty m:val="p"/>
              </m:rPr>
              <m:t>,</m:t>
            </m:r>
            <m:r>
              <m:t>.90</m:t>
            </m:r>
          </m:e>
        </m:d>
      </m:oMath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Calling station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m:oMath>
        <m:r>
          <m:t>h</m:t>
        </m:r>
        <m:r>
          <m:rPr>
            <m:sty m:val="p"/>
          </m:rPr>
          <m:t>=</m:t>
        </m:r>
        <m:r>
          <m:t>0.96</m:t>
        </m:r>
      </m:oMath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Never folds, never bluffs; the most-trusted archetype because it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the most predictable, and—in Phases 1 through 3—the lowest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economic performer for the same reason.</w:t>
      </w:r>
      <w:r>
        <w:rPr>
          <w:rFonts w:ascii="Times New Roman" w:hAnsi="Times New Roman"/>
          <w:sz w:val="20"/>
        </w:rPr>
        <w:br/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.00</m:t>
            </m:r>
            <m:r>
              <m:rPr>
                <m:sty m:val="p"/>
              </m:rPr>
              <m:t>,</m:t>
            </m:r>
            <m:r>
              <m:t>.05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 vbr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.40</m:t>
            </m:r>
            <m:r>
              <m:rPr>
                <m:sty m:val="p"/>
              </m:rPr>
              <m:t>,</m:t>
            </m:r>
            <m:r>
              <m:t>.75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 cr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.65</m:t>
            </m:r>
            <m:r>
              <m:rPr>
                <m:sty m:val="p"/>
              </m:rPr>
              <m:t>,</m:t>
            </m:r>
            <m:r>
              <m:t>.95</m:t>
            </m:r>
          </m:e>
        </m:d>
      </m:oMath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Phantom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Deceiver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m:oMath>
        <m:r>
          <m:t>h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Bluffs aggressively early in a hand and folds to resistance.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Designed to sit in an ambiguous region of the archetype space.</w:t>
      </w:r>
      <w:r>
        <w:rPr>
          <w:rFonts w:ascii="Times New Roman" w:hAnsi="Times New Roman"/>
          <w:sz w:val="20"/>
        </w:rPr>
        <w:br/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.35</m:t>
            </m:r>
            <m:r>
              <m:rPr>
                <m:sty m:val="p"/>
              </m:rPr>
              <m:t>,</m:t>
            </m:r>
            <m:r>
              <m:t>.85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 vbr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.45</m:t>
            </m:r>
            <m:r>
              <m:rPr>
                <m:sty m:val="p"/>
              </m:rPr>
              <m:t>,</m:t>
            </m:r>
            <m:r>
              <m:t>.85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 cr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.10</m:t>
            </m:r>
            <m:r>
              <m:rPr>
                <m:sty m:val="p"/>
              </m:rPr>
              <m:t>,</m:t>
            </m:r>
            <m:r>
              <m:t>.45</m:t>
            </m:r>
          </m:e>
        </m:d>
      </m:oMath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Predator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Exploits classified opponents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m:oMath>
        <m:r>
          <m:t>h</m:t>
        </m:r>
        <m:r>
          <m:rPr>
            <m:sty m:val="p"/>
          </m:rPr>
          <m:t>=</m:t>
        </m:r>
        <m:r>
          <m:t>0.79</m:t>
        </m:r>
      </m:oMath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Reads its posterior and shifts toward exploitation against any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opponent classified above a</w:t>
      </w:r>
      <w:r>
        <w:rPr>
          <w:rFonts w:ascii="Times New Roman" w:hAnsi="Times New Roman"/>
          <w:sz w:val="20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confidence threshold;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otherwise falls back to a TAG baseline.</w:t>
      </w:r>
      <w:r>
        <w:rPr>
          <w:rFonts w:ascii="Times New Roman" w:hAnsi="Times New Roman"/>
          <w:sz w:val="20"/>
        </w:rPr>
        <w:br/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.10</m:t>
            </m:r>
            <m:r>
              <m:rPr>
                <m:sty m:val="p"/>
              </m:rPr>
              <m:t>,</m:t>
            </m:r>
            <m:r>
              <m:t>.40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 vbr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.75</m:t>
            </m:r>
            <m:r>
              <m:rPr>
                <m:sty m:val="p"/>
              </m:rPr>
              <m:t>,</m:t>
            </m:r>
            <m:r>
              <m:t>1.00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 cr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.20</m:t>
            </m:r>
            <m:r>
              <m:rPr>
                <m:sty m:val="p"/>
              </m:rPr>
              <m:t>,</m:t>
            </m:r>
            <m:r>
              <m:t>.50</m:t>
            </m:r>
          </m:e>
        </m:d>
      </m:oMath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Mirror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Tit-for-tat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m:oMath>
        <m:r>
          <m:t>h</m:t>
        </m:r>
        <m:r>
          <m:rPr>
            <m:sty m:val="p"/>
          </m:rPr>
          <m:t>=</m:t>
        </m:r>
        <m:r>
          <m:t>0.78</m:t>
        </m:r>
      </m:oMath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Copies the most-active opponent’s frequencies into a blended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policy. The poker analogue of IPD Tit-for-Tat; in practice it does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not transfer cleanly to 8-player settings.</w:t>
      </w:r>
      <w:r>
        <w:rPr>
          <w:rFonts w:ascii="Times New Roman" w:hAnsi="Times New Roman"/>
          <w:sz w:val="20"/>
        </w:rPr>
        <w:br/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.03</m:t>
            </m:r>
            <m:r>
              <m:rPr>
                <m:sty m:val="p"/>
              </m:rPr>
              <m:t>,</m:t>
            </m:r>
            <m:r>
              <m:t>.25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 vbr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.75</m:t>
            </m:r>
            <m:r>
              <m:rPr>
                <m:sty m:val="p"/>
              </m:rPr>
              <m:t>,</m:t>
            </m:r>
            <m:r>
              <m:t>1.00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 cr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.22</m:t>
            </m:r>
            <m:r>
              <m:rPr>
                <m:sty m:val="p"/>
              </m:rPr>
              <m:t>,</m:t>
            </m:r>
            <m:r>
              <m:t>.52</m:t>
            </m:r>
          </m:e>
        </m:d>
      </m:oMath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Judge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Retaliates against bluffers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</w:t>
      </w:r>
      <m:oMath>
        <m:r>
          <m:t>h</m:t>
        </m:r>
        <m:r>
          <m:rPr>
            <m:sty m:val="p"/>
          </m:rPr>
          <m:t>=</m:t>
        </m:r>
        <m:r>
          <m:t>0.80</m:t>
        </m:r>
      </m:oMath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Maintains a per-opponent grievance ledger; triggers retaliatory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aggression against any opponent caught bluffing five or more times.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Models reputation-based punishment.</w:t>
      </w:r>
      <w:r>
        <w:rPr>
          <w:rFonts w:ascii="Times New Roman" w:hAnsi="Times New Roman"/>
          <w:sz w:val="20"/>
        </w:rPr>
        <w:br/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Preflop bounds (cooperative state):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.02</m:t>
            </m:r>
            <m:r>
              <m:rPr>
                <m:sty m:val="p"/>
              </m:rPr>
              <m:t>,</m:t>
            </m:r>
            <m:r>
              <m:t>.18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 vbr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.85</m:t>
            </m:r>
            <m:r>
              <m:rPr>
                <m:sty m:val="p"/>
              </m:rPr>
              <m:t>,</m:t>
            </m:r>
            <m:r>
              <m:t>1.00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 </w:t>
      </w:r>
    </w:p>
    <w:p>
      <w:r>
        <w:rPr>
          <w:rFonts w:ascii="Times New Roman" w:hAnsi="Times New Roman"/>
          <w:sz w:val="2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 cr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.25</m:t>
            </m:r>
            <m:r>
              <m:rPr>
                <m:sty m:val="p"/>
              </m:rPr>
              <m:t>,</m:t>
            </m:r>
            <m:r>
              <m:t>.50</m:t>
            </m:r>
          </m:e>
        </m:d>
      </m:oMath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Archetype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bet</m:t>
                  </m:r>
                  <m:r>
                    <m:rPr>
                      <m:sty m:val="p"/>
                    </m:rPr>
                    <m:t>|</m:t>
                  </m:r>
                  <m:r>
                    <m:t>S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bet</m:t>
                  </m:r>
                  <m:r>
                    <m:rPr>
                      <m:sty m:val="p"/>
                    </m:rPr>
                    <m:t>|</m:t>
                  </m:r>
                  <m:r>
                    <m:t>W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fold</m:t>
                  </m:r>
                  <m:r>
                    <m:rPr>
                      <m:sty m:val="p"/>
                    </m:rPr>
                    <m:t>|</m:t>
                  </m:r>
                  <m:r>
                    <m:t>W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Adaptation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0.65</m:t>
                  </m:r>
                  <m:r>
                    <m:rPr>
                      <m:sty m:val="p"/>
                    </m:rPr>
                    <m:t>,</m:t>
                  </m:r>
                  <m:r>
                    <m:t>0.85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0.15</m:t>
                  </m:r>
                  <m:r>
                    <m:rPr>
                      <m:sty m:val="p"/>
                    </m:rPr>
                    <m:t>,</m:t>
                  </m:r>
                  <m:r>
                    <m:t>0.35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0.45</m:t>
                  </m:r>
                  <m:r>
                    <m:rPr>
                      <m:sty m:val="p"/>
                    </m:rPr>
                    <m:t>,</m:t>
                  </m:r>
                  <m:r>
                    <m:t>0.65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None — fixed mixed 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Sentinel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0.90</m:t>
                  </m:r>
                  <m:r>
                    <m:rPr>
                      <m:sty m:val="p"/>
                    </m:rPr>
                    <m:t>,</m:t>
                  </m:r>
                  <m:r>
                    <m:t>1.00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0.00</m:t>
                  </m:r>
                  <m:r>
                    <m:rPr>
                      <m:sty m:val="p"/>
                    </m:rPr>
                    <m:t>,</m:t>
                  </m:r>
                  <m:r>
                    <m:t>0.10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0.80</m:t>
                  </m:r>
                  <m:r>
                    <m:rPr>
                      <m:sty m:val="p"/>
                    </m:rPr>
                    <m:t>,</m:t>
                  </m:r>
                  <m:r>
                    <m:t>0.95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None — tight value-bettor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Firestorm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0.85</m:t>
                  </m:r>
                  <m:r>
                    <m:rPr>
                      <m:sty m:val="p"/>
                    </m:rPr>
                    <m:t>,</m:t>
                  </m:r>
                  <m:r>
                    <m:t>1.00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0.45</m:t>
                  </m:r>
                  <m:r>
                    <m:rPr>
                      <m:sty m:val="p"/>
                    </m:rPr>
                    <m:t>,</m:t>
                  </m:r>
                  <m:r>
                    <m:t>0.65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0.00</m:t>
                  </m:r>
                  <m:r>
                    <m:rPr>
                      <m:sty m:val="p"/>
                    </m:rPr>
                    <m:t>,</m:t>
                  </m:r>
                  <m:r>
                    <m:t>0.20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None — bets everything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Wall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0.95</m:t>
                  </m:r>
                  <m:r>
                    <m:rPr>
                      <m:sty m:val="p"/>
                    </m:rPr>
                    <m:t>,</m:t>
                  </m:r>
                  <m:r>
                    <m:t>1.00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0.00</m:t>
                  </m:r>
                  <m:r>
                    <m:rPr>
                      <m:sty m:val="p"/>
                    </m:rPr>
                    <m:t>,</m:t>
                  </m:r>
                  <m:r>
                    <m:t>0.05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0.00</m:t>
                  </m:r>
                  <m:r>
                    <m:rPr>
                      <m:sty m:val="p"/>
                    </m:rPr>
                    <m:t>,</m:t>
                  </m:r>
                  <m:r>
                    <m:t>0.05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None — calls all, folds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Phantom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0.30</m:t>
                  </m:r>
                  <m:r>
                    <m:rPr>
                      <m:sty m:val="p"/>
                    </m:rPr>
                    <m:t>,</m:t>
                  </m:r>
                  <m:r>
                    <m:t>0.50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0.60</m:t>
                  </m:r>
                  <m:r>
                    <m:rPr>
                      <m:sty m:val="p"/>
                    </m:rPr>
                    <m:t>,</m:t>
                  </m:r>
                  <m:r>
                    <m:t>0.80</m:t>
                  </m:r>
                </m:e>
              </m:d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pre;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0.05</m:t>
                  </m:r>
                  <m:r>
                    <m:rPr>
                      <m:sty m:val="p"/>
                    </m:rPr>
                    <m:t>,</m:t>
                  </m:r>
                  <m:r>
                    <m:t>0.20</m:t>
                  </m:r>
                </m:e>
              </m:d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0.70</m:t>
                  </m:r>
                  <m:r>
                    <m:rPr>
                      <m:sty m:val="p"/>
                    </m:rPr>
                    <m:t>,</m:t>
                  </m:r>
                  <m:r>
                    <m:t>0.90</m:t>
                  </m:r>
                </m:e>
              </m:d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post-flop after preflop bluff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Static but street-conditional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Predator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TAG default; exploit profile vs. 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0.05</m:t>
              </m:r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default;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r>
                <m:t>0.55</m:t>
              </m:r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vs. classified 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0.65</m:t>
              </m:r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default;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r>
                <m:t>0.30</m:t>
              </m:r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vs. classified target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Activates exploit profile when posterior on opponent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0.60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Mirror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self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target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same blend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same blend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Re-targets at each hand to highest-VPIP opponent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Judge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0.88</m:t>
                  </m:r>
                  <m:r>
                    <m:rPr>
                      <m:sty m:val="p"/>
                    </m:rPr>
                    <m:t>,</m:t>
                  </m:r>
                  <m:r>
                    <m:t>0.98</m:t>
                  </m:r>
                </m:e>
              </m:d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coop;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0.95</m:t>
                  </m:r>
                  <m:r>
                    <m:rPr>
                      <m:sty m:val="p"/>
                    </m:rPr>
                    <m:t>,</m:t>
                  </m:r>
                  <m:r>
                    <m:t>1.00</m:t>
                  </m:r>
                </m:e>
              </m:d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retal. 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0.02</m:t>
                  </m:r>
                  <m:r>
                    <m:rPr>
                      <m:sty m:val="p"/>
                    </m:rPr>
                    <m:t>,</m:t>
                  </m:r>
                  <m:r>
                    <m:t>0.10</m:t>
                  </m:r>
                </m:e>
              </m:d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coop;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0.30</m:t>
                  </m:r>
                  <m:r>
                    <m:rPr>
                      <m:sty m:val="p"/>
                    </m:rPr>
                    <m:t>,</m:t>
                  </m:r>
                  <m:r>
                    <m:t>0.45</m:t>
                  </m:r>
                </m:e>
              </m:d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retal. 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0.78</m:t>
                  </m:r>
                  <m:r>
                    <m:rPr>
                      <m:sty m:val="p"/>
                    </m:rPr>
                    <m:t>,</m:t>
                  </m:r>
                  <m:r>
                    <m:t>0.92</m:t>
                  </m:r>
                </m:e>
              </m:d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coop;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0.30</m:t>
                  </m:r>
                  <m:r>
                    <m:rPr>
                      <m:sty m:val="p"/>
                    </m:rPr>
                    <m:t>,</m:t>
                  </m:r>
                  <m:r>
                    <m:t>0.50</m:t>
                  </m:r>
                </m:e>
              </m:d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retal.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Switches to retaliation after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confirmed bluffs by an opponent</w:t>
            </w:r>
          </w:p>
        </w:tc>
      </w:tr>
    </w:tbl>
    <w:bookmarkEnd w:id="37"/>
    <w:bookmarkStart w:id="38" w:name="categorical-posterior-over-types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3.3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Categorical posterior over types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Every agent maintains a length-8 categorical distribution over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archetype of every other seat. After agent</w:t>
      </w:r>
      <w:r>
        <w:rPr>
          <w:rFonts w:ascii="Times New Roman" w:hAnsi="Times New Roman"/>
          <w:sz w:val="20"/>
        </w:rPr>
        <w:t xml:space="preserve"> </w:t>
      </w:r>
      <m:oMath>
        <m:r>
          <m:t>i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observes seat</w:t>
      </w:r>
      <w:r>
        <w:rPr>
          <w:rFonts w:ascii="Times New Roman" w:hAnsi="Times New Roman"/>
          <w:sz w:val="20"/>
        </w:rPr>
        <w:t xml:space="preserve"> </w:t>
      </w:r>
      <m:oMath>
        <m:r>
          <m:t>j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take action</w:t>
      </w:r>
      <w:r>
        <w:rPr>
          <w:rFonts w:ascii="Times New Roman" w:hAnsi="Times New Roman"/>
          <w:sz w:val="20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betting round</w:t>
      </w:r>
      <w:r>
        <w:rPr>
          <w:rFonts w:ascii="Times New Roman" w:hAnsi="Times New Roman"/>
          <w:sz w:val="20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0"/>
        </w:rPr>
        <w:t xml:space="preserve">, the distribution is updated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→</m:t>
              </m:r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rPr>
              <m:sty m:val="p"/>
            </m:rPr>
            <m:t>∝</m:t>
          </m:r>
          <m:r>
            <m:t> </m:t>
          </m:r>
          <m:d>
            <m:dPr>
              <m:begChr m:val="["/>
              <m:endChr m:val="]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</m:e>
              </m:d>
              <m:r>
                <m:t> 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/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T</m:t>
                  </m:r>
                </m:e>
              </m:d>
            </m:e>
          </m:d>
          <m:r>
            <m:t> </m:t>
          </m:r>
          <m:sSubSup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→</m:t>
              </m:r>
              <m:r>
                <m:t>j</m:t>
              </m:r>
            </m:sub>
            <m:sup>
              <m:r>
                <m:rPr>
                  <m:nor/>
                  <m:sty m:val="p"/>
                </m:rPr>
                <m:t>prior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0"/>
        </w:rPr>
        <w:t xml:space="preserve">where</w:t>
      </w:r>
      <w:r>
        <w:rPr>
          <w:rFonts w:ascii="Times New Roman" w:hAnsi="Times New Roman"/>
          <w:sz w:val="20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t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a precomputed likelihood that a type-</w:t>
      </w:r>
      <m:oMath>
        <m:r>
          <m:t>t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agent emits action</w:t>
      </w:r>
      <w:r>
        <w:rPr>
          <w:rFonts w:ascii="Times New Roman" w:hAnsi="Times New Roman"/>
          <w:sz w:val="20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round</w:t>
      </w:r>
      <w:r>
        <w:rPr>
          <w:rFonts w:ascii="Times New Roman" w:hAnsi="Times New Roman"/>
          <w:sz w:val="20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  <m:scr m:val="script"/>
          </m:rPr>
          <m:t>T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the set of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eight archetypes, and</w:t>
      </w:r>
      <w:r>
        <w:rPr>
          <w:rFonts w:ascii="Times New Roman" w:hAnsi="Times New Roman"/>
          <w:sz w:val="20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0.05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a noise floor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preventing any type from being fully eliminated. We characterize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Eq. </w:t>
      </w:r>
      <w:hyperlink w:anchor="eq:posterior">
        <w:r>
          <w:rPr>
            <w:rStyle w:val="Hyperlink"/>
          </w:rPr>
          <w:t xml:space="preserve">[eq:posterior]</w:t>
        </w:r>
      </w:hyperlink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as Bayes-flavoured rather than strictly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Bayesian: the noise floor is embedded in the likelihood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(equivalent to a uniform contamination model), the likelihood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table is computed from each archetype’s analytic policy and is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therefore correctly specified by construction, and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between-hand shrinkage in Eq. </w:t>
      </w:r>
      <w:hyperlink w:anchor="eq:decay">
        <w:r>
          <w:rPr>
            <w:rStyle w:val="Hyperlink"/>
          </w:rPr>
          <w:t xml:space="preserve">[eq:decay]</w:t>
        </w:r>
      </w:hyperlink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a forgetting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heuristic rather than a posterior update. Between hands,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posteriors are shrunk toward the uniform prior: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→</m:t>
              </m:r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t>λ</m:t>
          </m:r>
          <m:r>
            <m:t> 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→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</m:e>
          </m:d>
          <m:r>
            <m:t> </m:t>
          </m:r>
          <m:sSup>
            <m:e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T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t>0.95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0"/>
        </w:rPr>
        <w:t xml:space="preserve">giving an effective memory of approximately</w:t>
      </w:r>
      <w:r>
        <w:rPr>
          <w:rFonts w:ascii="Times New Roman" w:hAnsi="Times New Roman"/>
          <w:sz w:val="20"/>
        </w:rP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λ</m:t>
            </m:r>
          </m:e>
        </m:d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hands. The trust score, our primary dependent variable,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trust</m:t>
              </m:r>
            </m:e>
            <m:sub>
              <m:r>
                <m:t>i</m:t>
              </m:r>
              <m:r>
                <m:rPr>
                  <m:sty m:val="p"/>
                </m:rPr>
                <m:t>→</m:t>
              </m:r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T</m:t>
              </m:r>
            </m:sub>
            <m:sup>
              <m:r>
                <m:t>​</m:t>
              </m:r>
            </m:sup>
            <m:e>
              <m:r>
                <m:t> </m:t>
              </m:r>
            </m:e>
          </m:nary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→</m:t>
              </m:r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0"/>
        </w:rPr>
        <w:t xml:space="preserve">where</w:t>
      </w:r>
      <w:r>
        <w:rPr>
          <w:rFonts w:ascii="Times New Roman" w:hAnsi="Times New Roman"/>
          <w:sz w:val="20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bet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strong</m:t>
            </m:r>
          </m:e>
        </m: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bluff</m:t>
                </m:r>
                <m:r>
                  <m:rPr>
                    <m:sty m:val="p"/>
                  </m:rPr>
                  <m:t>∣</m:t>
                </m:r>
                <m:r>
                  <m:rPr>
                    <m:nor/>
                    <m:sty m:val="p"/>
                  </m:rPr>
                  <m:t>weak</m:t>
                </m:r>
              </m:e>
            </m:d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the archetype’s honesty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score. This functional form is one of several plausible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definitions (alternatives include the mean of the two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probabilities or an entropy-based measure); we report results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under the product form throughout and note in the limitations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that the trust–profit correlation is mechanically anchored on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this choice.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Three archetypes (</w:t>
      </w:r>
      <w:r>
        <w:rPr>
          <w:bCs/>
          <w:rFonts w:ascii="Times New Roman" w:hAnsi="Times New Roman"/>
          <w:b/>
          <w:iCs/>
          <w:i/>
          <w:sz w:val="20"/>
        </w:rPr>
        <w:t xml:space="preserve">Sentinel</w:t>
      </w:r>
      <w:r>
        <w:rPr>
          <w:iCs/>
          <w:rFonts w:ascii="Times New Roman" w:hAnsi="Times New Roman"/>
          <w:i/>
          <w:sz w:val="20"/>
        </w:rPr>
        <w:t xml:space="preserve">,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bCs/>
          <w:rFonts w:ascii="Times New Roman" w:hAnsi="Times New Roman"/>
          <w:b/>
          <w:iCs/>
          <w:i/>
          <w:sz w:val="20"/>
        </w:rPr>
        <w:t xml:space="preserve">Mirror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in its default state,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bCs/>
          <w:rFonts w:ascii="Times New Roman" w:hAnsi="Times New Roman"/>
          <w:b/>
          <w:iCs/>
          <w:i/>
          <w:sz w:val="20"/>
        </w:rPr>
        <w:t xml:space="preserve">Judge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in its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cooperative state) are intentionally stipulated with identical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mean parameters to provide a controlled demonstration of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identifiability under indistinguishable types</w:t>
      </w:r>
      <w:r>
        <w:rPr>
          <w:rFonts w:ascii="Times New Roman" w:hAnsi="Times New Roman"/>
          <w:sz w:val="20"/>
        </w:rPr>
        <w:t xml:space="preserve">; this is a design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choice, not a finding.</w:t>
      </w:r>
    </w:p>
    <w:bookmarkEnd w:id="38"/>
    <w:bookmarkStart w:id="39" w:name="four-agent-architectures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3.4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Four agent architectures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The four phases differ only in the implementation of each agent’s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decision policy.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Phase 1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(frozen rule-based): each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archetype is a fixed per-round parameter table.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Phase 2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(bounded online optimization): each agent runs a per-cycle hill-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climber that, every 200 hands, perturbs one (round, metric) slot by</w:t>
      </w:r>
      <w:r>
        <w:rPr>
          <w:rFonts w:ascii="Times New Roman" w:hAnsi="Times New Roman"/>
          <w:sz w:val="20"/>
        </w:rPr>
        <w:t xml:space="preserve"> </w:t>
      </w:r>
      <m:oMath>
        <m:r>
          <m:t>δ</m:t>
        </m:r>
        <m:r>
          <m:rPr>
            <m:sty m:val="p"/>
          </m:rPr>
          <m:t>=</m:t>
        </m:r>
        <m:r>
          <m:t>0.03</m:t>
        </m:r>
      </m:oMath>
      <w:r>
        <w:rPr>
          <w:rFonts w:ascii="Times New Roman" w:hAnsi="Times New Roman"/>
          <w:sz w:val="20"/>
        </w:rPr>
        <w:t xml:space="preserve">, plays a 200-hand trial, and accepts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perturbation if windowed profit improves; perturbations are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confined to an archetype-shaped bound box.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Phase 3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(LLM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personality role-players): each agent’s decision is an API call to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Anthropic’s Claude Haiku 4.5 with the archetype’s personality spec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as the system prompt.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Phase 3.1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(LLM with reasoning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scaffolding): the Phase 3 setup augmented with chain-of-thought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prompting capped at two sentences, persistent per-opponent memory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refreshed every 10 hands, and self-updated strategy notes refreshed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every 25 hands. A sub-experiment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Phase 2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removes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hill-climber’s bound boxes entirely and raises the step size to</w:t>
      </w:r>
      <w:r>
        <w:rPr>
          <w:rFonts w:ascii="Times New Roman" w:hAnsi="Times New Roman"/>
          <w:sz w:val="20"/>
        </w:rPr>
        <w:t xml:space="preserve"> </w:t>
      </w:r>
      <m:oMath>
        <m:r>
          <m:t>δ</m:t>
        </m:r>
        <m:r>
          <m:rPr>
            <m:sty m:val="p"/>
          </m:rPr>
          <m:t>=</m:t>
        </m:r>
        <m:r>
          <m:t>0.15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 a 50-hand evaluation window.</w:t>
      </w:r>
    </w:p>
    <w:bookmarkEnd w:id="39"/>
    <w:bookmarkStart w:id="40" w:name="experimental-design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3.5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Experimental design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All four phases use the same five random seeds (42, 137, 256, 512,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1024) and the same eight archetype assignments.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Hand counts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differ across phases by an order of magnitude: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Phases 1, 2, and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2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each play 10 000 hands per seed; Phase 3 plays 500 hands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per seed (43 943 total LLM calls, $33.10); Phase 3.1 plays 150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hands per seed (11 953 calls,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∼</m:t>
        </m:r>
        <m:r>
          <m:rPr>
            <m:sty m:val="p"/>
          </m:rPr>
          <m:t>$</m:t>
        </m:r>
        <m:r>
          <m:t>17</m:t>
        </m:r>
      </m:oMath>
      <w:r>
        <w:rPr>
          <w:rFonts w:ascii="Times New Roman" w:hAnsi="Times New Roman"/>
          <w:sz w:val="20"/>
        </w:rPr>
        <w:t xml:space="preserve">). This asymmetry is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imposed by API cost and is a known confound in cross-phase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comparisons of per-seed</w:t>
      </w:r>
      <w:r>
        <w:rPr>
          <w:rFonts w:ascii="Times New Roman" w:hAnsi="Times New Roman"/>
          <w:sz w:val="20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/>
          <w:sz w:val="20"/>
        </w:rPr>
        <w:t xml:space="preserve">: even under an identical underlying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trust–profit relationship, the per-seed correlation in Phase 3.1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would be measured on a noisier</w:t>
      </w:r>
      <w:r>
        <w:rPr>
          <w:rFonts w:ascii="Times New Roman" w:hAnsi="Times New Roman"/>
          <w:sz w:val="20"/>
        </w:rPr>
        <w:t xml:space="preserve"> </w:t>
      </w:r>
      <m:oMath>
        <m:r>
          <m:t>n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 would be attenuated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magnitude. The reported</w:t>
      </w:r>
      <w:r>
        <w:rPr>
          <w:rFonts w:ascii="Times New Roman" w:hAnsi="Times New Roman"/>
          <w:sz w:val="20"/>
        </w:rPr>
        <w:t xml:space="preserve"> </w:t>
      </w:r>
      <m:oMath>
        <m:r>
          <m:t>Δ</m:t>
        </m:r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between phases therefore mixes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 capability effect with a statistical-power effect, an issue we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address explicitly in the Discussion (§ Limitations) and which 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hand-count-matched replication would resolve.</w:t>
      </w:r>
    </w:p>
    <w:p>
      <w:pPr>
        <w:pStyle w:val="BodyText"/>
      </w:pPr>
      <w:r>
        <w:rPr>
          <w:iCs/>
          <w:rFonts w:ascii="Times New Roman" w:hAnsi="Times New Roman"/>
          <w:i/>
          <w:sz w:val="20"/>
        </w:rPr>
        <w:t xml:space="preserve">Sampling temperature.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canonical Phase 3 and Phase 3.1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datasets were generated under the Anthropic SDK’s default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temperature of 1.0; the codebase now pins temperature to 0.0 for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deterministic re-runs. Headline numbers throughout this paper are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from the temperature-1.0 runs. The full disclosure of this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methodological caveat is in the Limitations.</w:t>
      </w:r>
    </w:p>
    <w:bookmarkEnd w:id="40"/>
    <w:bookmarkStart w:id="41" w:name="metrics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3.6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Metrics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The primary metric is the per-seed Pearson correlation</w:t>
      </w:r>
      <w:r>
        <w:rPr>
          <w:rFonts w:ascii="Times New Roman" w:hAnsi="Times New Roman"/>
          <w:sz w:val="20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between mean trust score (final hand) and final stack across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eight archetypes 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paired observations per seed). We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additionally report six secondary metrics: Trust Exploitation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Index (TEI), Context Sensitivity (CS), Opponent Adaptation (OA),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Non-Stationarity (NS), Strategic Unpredictability (SU), and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Trust Manipulation Awareness (TMA). TMA is the correlation between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 agent’s rolling trust delta and its rolling aggression delta;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positive values capture the pattern of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building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trust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through cooperative early play and subsequently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exploiting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that trust with higher aggression, an interaction we refer to as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“</w:t>
      </w:r>
      <w:r>
        <w:rPr>
          <w:rFonts w:ascii="Times New Roman" w:hAnsi="Times New Roman"/>
          <w:sz w:val="20"/>
        </w:rPr>
        <w:t xml:space="preserve">trust farming</w:t>
      </w:r>
      <w:r>
        <w:rPr>
          <w:rFonts w:ascii="Times New Roman" w:hAnsi="Times New Roman"/>
          <w:sz w:val="20"/>
        </w:rPr>
        <w:t xml:space="preserve">”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the captions and discussion. The six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secondary metrics were chosen post hoc rather than pre-registered;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readers should treat them with appropriate skepticism and apply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Bonferroni-style correction if making strong claims from any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individual metric.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Confidence intervals on the headline</w:t>
      </w:r>
      <w:r>
        <w:rPr>
          <w:rFonts w:ascii="Times New Roman" w:hAnsi="Times New Roman"/>
          <w:sz w:val="20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values are reported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two forms: a Student-</w:t>
      </w:r>
      <m:oMath>
        <m:r>
          <m:t>t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interval at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nor/>
            <m:sty m:val="p"/>
          </m:rPr>
          <m:t>df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crit</m:t>
            </m:r>
          </m:sub>
        </m:sSub>
        <m:r>
          <m:rPr>
            <m:sty m:val="p"/>
          </m:rPr>
          <m:t>=</m:t>
        </m:r>
        <m:r>
          <m:t>2.776</m:t>
        </m:r>
      </m:oMath>
      <w:r>
        <w:rPr>
          <w:rFonts w:ascii="Times New Roman" w:hAnsi="Times New Roman"/>
          <w:sz w:val="20"/>
        </w:rPr>
        <w:t xml:space="preserve">) and a non-parametric percentile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bootstrap with 10 000 resamples. The bootstrap on</w:t>
      </w:r>
      <w:r>
        <w:rPr>
          <w:rFonts w:ascii="Times New Roman" w:hAnsi="Times New Roman"/>
          <w:sz w:val="20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seeds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draws from at most</w:t>
      </w:r>
      <w:r>
        <w:rPr>
          <w:rFonts w:ascii="Times New Roman" w:hAnsi="Times New Roman"/>
          <w:sz w:val="20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noBar"/>
              </m:fPr>
              <m:num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r>
          <m:t>126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distinct combinations,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so the 10 000 resamples densely cover the resampling space but do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not buy additional statistical power beyond the five underlying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observations.</w:t>
      </w:r>
    </w:p>
    <w:bookmarkEnd w:id="41"/>
    <w:bookmarkEnd w:id="42"/>
    <w:bookmarkStart w:id="78" w:name="sec:results"/>
    <w:p>
      <w:pPr>
        <w:pStyle w:val="Heading1"/>
        <w:jc w:val="left"/>
        <w:pBdr>
          <w:left w:val="single" w:sz="18" w:space="6" w:color="C8102E"/>
        </w:pBdr>
      </w:pPr>
      <w:r>
        <w:rPr>
          <w:rStyle w:val="SectionNumber"/>
          <w:rFonts w:ascii="Arial" w:hAnsi="Arial"/>
          <w:b/>
          <w:color w:val="000000"/>
          <w:sz w:val="23"/>
        </w:rPr>
        <w:t>4</w:t>
      </w:r>
      <w:r>
        <w:rPr>
          <w:rFonts w:ascii="Arial" w:hAnsi="Arial"/>
          <w:b/>
          <w:color w:val="000000"/>
          <w:sz w:val="23"/>
        </w:rPr>
        <w:tab/>
      </w:r>
      <w:r>
        <w:rPr>
          <w:rFonts w:ascii="Arial" w:hAnsi="Arial"/>
          <w:b/>
          <w:color w:val="000000"/>
          <w:sz w:val="23"/>
        </w:rPr>
        <w:t>RESULTS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We present results in order of agent capability: Phase 1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(frozen rule-based agents) establishes the baseline trap; Phase 2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(bounded hill-climbing) tests whether numerical adaptation can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soften it; Phase 2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(unbounded hill-climbing) tests whether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bounds were the binding constraint; Phase 3 (LLM personality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role-players) replaces the rule-based policies with a language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model under a personality spec; and Phase 3.1 (LLM with reasoning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scaffolding) augments that with chain-of-thought, per-opponent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memory, and self-updated strategy notes. The four-tier headline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ladder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−</m:t>
        </m:r>
        <m:r>
          <m:t>0.752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0.637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0.510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0.094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summarized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Fig. </w:t>
      </w:r>
      <w:hyperlink w:anchor="fig:headline">
        <w:r>
          <w:rPr>
            <w:rStyle w:val="Hyperlink"/>
          </w:rPr>
          <w:t xml:space="preserve">[fig:headline]</w:t>
        </w:r>
      </w:hyperlink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 Table </w:t>
      </w:r>
      <w:hyperlink w:anchor="tab:ladder">
        <w:r>
          <w:rPr>
            <w:rStyle w:val="Hyperlink"/>
          </w:rPr>
          <w:t xml:space="preserve">1</w:t>
        </w:r>
      </w:hyperlink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above;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remainder of this section reports per-phase numbers, figures,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 illustrative hands.</w:t>
      </w:r>
    </w:p>
    <w:bookmarkStart w:id="50" w:name="phase-1-trust-as-a-liability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4.1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Phase 1: trust as a liability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Phase 1 produces</w:t>
      </w:r>
      <w:r>
        <w:rPr>
          <w:rFonts w:ascii="Times New Roman" w:hAnsi="Times New Roman"/>
          <w:sz w:val="20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0.752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across the five canonical seeds,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 per-seed values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0.774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0.608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0.792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0.812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0.776</m:t>
        </m:r>
        <m:r>
          <m:rPr>
            <m:sty m:val="p"/>
          </m:rPr>
          <m:t>}</m:t>
        </m:r>
      </m:oMath>
      <w:r>
        <w:rPr>
          <w:rFonts w:ascii="Times New Roman" w:hAnsi="Times New Roman"/>
          <w:sz w:val="20"/>
        </w:rPr>
        <w:t xml:space="preserve">.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(the most-trusted archetype, honesty 0.96) has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smallest mean stack and approximately 9.4 rebuys per seed.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(the least-trusted, honesty 0.38) has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largest mean stack and zero rebuys. Of the pots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wins,</w:t>
      </w:r>
      <w:r>
        <w:rPr>
          <w:rFonts w:ascii="Times New Roman" w:hAnsi="Times New Roman"/>
          <w:sz w:val="20"/>
        </w:rPr>
        <w:t xml:space="preserve"> </w:t>
      </w:r>
      <m:oMath>
        <m:r>
          <m:t>87.1</m:t>
        </m:r>
        <m:r>
          <m:rPr>
            <m:sty m:val="p"/>
          </m:rPr>
          <m:t>%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are walkovers</w:t>
      </w:r>
      <w:r>
        <w:rPr>
          <w:rStyle w:val="FootnoteReference"/>
          <w:rFonts w:ascii="Times New Roman" w:hAnsi="Times New Roman"/>
          <w:sz w:val="20"/>
        </w:rPr>
        <w:footnoteReference w:id="43"/>
      </w:r>
      <w:r>
        <w:rPr>
          <w:rFonts w:ascii="Times New Roman" w:hAnsi="Times New Roman"/>
          <w:sz w:val="20"/>
        </w:rPr>
        <w:t xml:space="preserve">; its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showdown win rate is only</w:t>
      </w:r>
      <w:r>
        <w:rPr>
          <w:rFonts w:ascii="Times New Roman" w:hAnsi="Times New Roman"/>
          <w:sz w:val="20"/>
        </w:rPr>
        <w:t xml:space="preserve"> </w:t>
      </w:r>
      <m:oMath>
        <m:r>
          <m:t>38.5</m:t>
        </m:r>
        <m:r>
          <m:rPr>
            <m:sty m:val="p"/>
          </m:rPr>
          <m:t>%</m:t>
        </m:r>
      </m:oMath>
      <w:r>
        <w:rPr>
          <w:rFonts w:ascii="Times New Roman" w:hAnsi="Times New Roman"/>
          <w:sz w:val="20"/>
        </w:rPr>
        <w:t xml:space="preserve">, below the uniform</w:t>
      </w:r>
      <w:r>
        <w:rPr>
          <w:rFonts w:ascii="Times New Roman" w:hAnsi="Times New Roman"/>
          <w:sz w:val="20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rate.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not a strong poker player on the merits; it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wins because it is hard to read. The trust–stack relationship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appears in Fig. </w:t>
      </w:r>
      <w:hyperlink w:anchor="fig:trust-vs-stack">
        <w:r>
          <w:rPr>
            <w:rStyle w:val="Hyperlink"/>
          </w:rPr>
          <w:t xml:space="preserve">1</w:t>
        </w:r>
      </w:hyperlink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(left panel).</w:t>
      </w:r>
    </w:p>
    <w:p>
      <w:pPr>
        <w:pStyle w:val="CaptionedFigure"/>
      </w:pPr>
      <w:r>
        <w:rPr>
          <w:rFonts w:ascii="Arial" w:hAnsi="Arial"/>
          <w:sz w:val="18"/>
        </w:rPr>
        <w:drawing>
          <wp:inline>
            <wp:extent cx="5334000" cy="232919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trust_vs_stack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9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rFonts w:ascii="Arial" w:hAnsi="Arial"/>
          <w:b/>
          <w:sz w:val="18"/>
        </w:rPr>
        <w:t xml:space="preserve">Trust versus final stack across phases.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(</w:t>
      </w:r>
      <w:r>
        <w:rPr>
          <w:bCs/>
          <w:rFonts w:ascii="Arial" w:hAnsi="Arial"/>
          <w:b/>
          <w:sz w:val="18"/>
        </w:rPr>
        <w:t xml:space="preserve">Left</w:t>
      </w:r>
      <w:r>
        <w:rPr>
          <w:rFonts w:ascii="Arial" w:hAnsi="Arial"/>
          <w:sz w:val="18"/>
        </w:rPr>
        <w:t xml:space="preserve">) Phase 1: the most-trusted archetypes cluster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in the low-stack region and</w:t>
      </w:r>
      <w:r>
        <w:rPr>
          <w:rFonts w:ascii="Arial" w:hAnsi="Arial"/>
          <w:sz w:val="18"/>
        </w:rPr>
        <w:t xml:space="preserve"> </w:t>
      </w:r>
      <w:r>
        <w:rPr>
          <w:bCs/>
          <w:rFonts w:ascii="Arial" w:hAnsi="Arial"/>
          <w:b/>
          <w:sz w:val="18"/>
        </w:rPr>
        <w:t xml:space="preserve">Firestorm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(low trust) is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the highest earner. (</w:t>
      </w:r>
      <w:r>
        <w:rPr>
          <w:bCs/>
          <w:rFonts w:ascii="Arial" w:hAnsi="Arial"/>
          <w:b/>
          <w:sz w:val="18"/>
        </w:rPr>
        <w:t xml:space="preserve">Right</w:t>
      </w:r>
      <w:r>
        <w:rPr>
          <w:rFonts w:ascii="Arial" w:hAnsi="Arial"/>
          <w:sz w:val="18"/>
        </w:rPr>
        <w:t xml:space="preserve">) Phase 3.1: the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relationship dissolves and</w:t>
      </w:r>
      <w:r>
        <w:rPr>
          <w:rFonts w:ascii="Arial" w:hAnsi="Arial"/>
          <w:sz w:val="18"/>
        </w:rPr>
        <w:t xml:space="preserve"> </w:t>
      </w:r>
      <w:r>
        <w:rPr>
          <w:bCs/>
          <w:rFonts w:ascii="Arial" w:hAnsi="Arial"/>
          <w:b/>
          <w:sz w:val="18"/>
        </w:rPr>
        <w:t xml:space="preserve">Wall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becomes the top earner.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Each point is one (archetype, seed) observation.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The mechanism is also visible in a single representative hand.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Box 1 reproduces hand #67 from seed 42: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dealt</w:t>
      </w:r>
      <w:r>
        <w:rPr>
          <w:rFonts w:ascii="Times New Roman" w:hAnsi="Times New Roman"/>
          <w:sz w:val="20"/>
        </w:rPr>
        <w:t xml:space="preserve"> </w:t>
      </w:r>
      <m:oMath>
        <m:r>
          <m:t>2</m:t>
        </m:r>
        <m:r>
          <m:rPr>
            <m:sty m:val="p"/>
          </m:rPr>
          <m:t>♠</m:t>
        </m:r>
        <m:r>
          <m:t> </m:t>
        </m:r>
        <m:r>
          <m:t>5</m:t>
        </m:r>
        <m:r>
          <m:rPr>
            <m:sty m:val="p"/>
          </m:rPr>
          <m:t>♣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(hand rank</w:t>
      </w:r>
      <w:r>
        <w:rPr>
          <w:rStyle w:val="FootnoteReference"/>
          <w:rFonts w:ascii="Times New Roman" w:hAnsi="Times New Roman"/>
          <w:sz w:val="20"/>
        </w:rPr>
        <w:footnoteReference w:id="47"/>
      </w:r>
      <w:r>
        <w:rPr>
          <w:rFonts w:ascii="Times New Roman" w:hAnsi="Times New Roman"/>
          <w:sz w:val="20"/>
        </w:rPr>
        <w:t xml:space="preserve"> </w:t>
      </w:r>
      <m:oMath>
        <m:r>
          <m:t>6</m:t>
        </m:r>
        <m:r>
          <m:rPr>
            <m:sty m:val="p"/>
          </m:rPr>
          <m:t>,</m:t>
        </m:r>
        <m:r>
          <m:t>749</m:t>
        </m:r>
      </m:oMath>
      <w:r>
        <w:rPr>
          <w:rFonts w:ascii="Times New Roman" w:hAnsi="Times New Roman"/>
          <w:sz w:val="20"/>
        </w:rPr>
        <w:t xml:space="preserve">,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worst hand at the table) and calls every street of 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4-bet</w:t>
      </w:r>
      <w:r>
        <w:rPr>
          <w:rStyle w:val="FootnoteReference"/>
          <w:rFonts w:ascii="Times New Roman" w:hAnsi="Times New Roman"/>
          <w:sz w:val="20"/>
        </w:rPr>
        <w:footnoteReference w:id="48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pot, paying 35 chips into a hand it had no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chance to win. The illustrative hand we use here is drawn from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Phase 3 dataset so that we can show the trap holding even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under a language-model implementation of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; the same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dynamic occurs more frequently in Phase 1.</w:t>
      </w:r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Setup.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Seed 42, hand 67.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(seat 3) is dealt</w:t>
      </w:r>
      <w:r>
        <w:rPr>
          <w:rFonts w:ascii="Times New Roman" w:hAnsi="Times New Roman"/>
          <w:sz w:val="20"/>
        </w:rPr>
        <w:t xml:space="preserve"> </w:t>
      </w:r>
      <m:oMath>
        <m:r>
          <m:t>2</m:t>
        </m:r>
        <m:r>
          <m:rPr>
            <m:sty m:val="p"/>
          </m:rPr>
          <m:t>♠</m:t>
        </m:r>
        <m:r>
          <m:t> </m:t>
        </m:r>
        <m:r>
          <m:t>5</m:t>
        </m:r>
        <m:r>
          <m:rPr>
            <m:sty m:val="p"/>
          </m:rPr>
          <m:t>♣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– rank 6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749, the worst hand at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table. Final pot 110 chips, showdown.</w:t>
      </w:r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Action sequence: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@r l l l r r N@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Seq &amp; Seat &amp; Round &amp; Action &amp; Amt &amp; Pot &amp; Notes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Judge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preflop &amp; raise &amp; 4 &amp; 7 &amp;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6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preflop &amp; raise &amp; 6 &amp; 13 &amp; 3-bet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7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preflop &amp; call &amp; 5 &amp; 18 &amp;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calls 4-bet pot with 2-5 off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9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Judge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preflop &amp; call &amp; 2 &amp; 20 &amp;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10–16 &amp; …&amp; flop &amp; …&amp; &amp; 38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Judge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bets,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raises,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calls each street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17–23 &amp; …&amp; turn &amp; …&amp; &amp; 74 &amp; Same pattern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24–30 &amp; …&amp; river &amp; …&amp; &amp; 110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calls the final two raises</w:t>
      </w:r>
      <w:r>
        <w:rPr>
          <w:rFonts w:ascii="Times New Roman" w:hAnsi="Times New Roman"/>
          <w:sz w:val="20"/>
        </w:rPr>
        <w:br/>
      </w:r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Showdown.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m:oMath>
        <m:r>
          <m:t>J</m:t>
        </m:r>
        <m:r>
          <m:rPr>
            <m:sty m:val="p"/>
          </m:rPr>
          <m:t>♡</m:t>
        </m:r>
        <m:r>
          <m:t> </m:t>
        </m:r>
        <m:r>
          <m:t>J</m:t>
        </m:r>
        <m:r>
          <m:rPr>
            <m:sty m:val="p"/>
          </m:rPr>
          <m:t>♢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(rank 4042)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wins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110.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Judge</w:t>
      </w:r>
      <w:r>
        <w:rPr>
          <w:rFonts w:ascii="Times New Roman" w:hAnsi="Times New Roman"/>
          <w:sz w:val="20"/>
        </w:rPr>
        <w:t xml:space="preserve"> </w:t>
      </w:r>
      <m:oMath>
        <m:r>
          <m:t>8</m:t>
        </m:r>
        <m:r>
          <m:rPr>
            <m:sty m:val="p"/>
          </m:rPr>
          <m:t>♡</m:t>
        </m:r>
        <m:r>
          <m:t> </m:t>
        </m:r>
        <m:r>
          <m:t>8</m:t>
        </m:r>
        <m:r>
          <m:rPr>
            <m:sty m:val="p"/>
          </m:rPr>
          <m:t>♢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(rank 4703).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m:oMath>
        <m:r>
          <m:t>2</m:t>
        </m:r>
        <m:r>
          <m:rPr>
            <m:sty m:val="p"/>
          </m:rPr>
          <m:t>♠</m:t>
        </m:r>
        <m:r>
          <m:t> </m:t>
        </m:r>
        <m:r>
          <m:t>5</m:t>
        </m:r>
        <m:r>
          <m:rPr>
            <m:sty m:val="p"/>
          </m:rPr>
          <m:t>♣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(rank 6749).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Wall pays 35 chips into a hand it had no chance to win.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Every observer’s posterior puts</w:t>
      </w:r>
      <w:r>
        <w:rPr>
          <w:iCs/>
          <w:rFonts w:ascii="Times New Roman" w:hAnsi="Times New Roman"/>
          <w:i/>
          <w:sz w:val="20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1.000</m:t>
        </m:r>
      </m:oMath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on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bCs/>
          <w:rFonts w:ascii="Times New Roman" w:hAnsi="Times New Roman"/>
          <w:b/>
          <w:iCs/>
          <w:i/>
          <w:sz w:val="20"/>
        </w:rPr>
        <w:t xml:space="preserve">Firestorm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being a firestorm and</w:t>
      </w:r>
      <w:r>
        <w:rPr>
          <w:iCs/>
          <w:rFonts w:ascii="Times New Roman" w:hAnsi="Times New Roman"/>
          <w:i/>
          <w:sz w:val="20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1.000</m:t>
        </m:r>
      </m:oMath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on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bCs/>
          <w:rFonts w:ascii="Times New Roman" w:hAnsi="Times New Roman"/>
          <w:b/>
          <w:iCs/>
          <w:i/>
          <w:sz w:val="20"/>
        </w:rPr>
        <w:t xml:space="preserve">Wall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being a wall.</w:t>
      </w:r>
    </w:p>
    <w:bookmarkStart w:id="49" w:name="classification-accuracy."/>
    <w:p>
      <w:pPr>
        <w:pStyle w:val="Heading4"/>
      </w:pPr>
      <w:r>
        <w:rPr>
          <w:rStyle w:val="SectionNumber"/>
          <w:rFonts w:ascii="Arial" w:hAnsi="Arial"/>
          <w:b/>
          <w:i/>
          <w:sz w:val="19"/>
        </w:rPr>
        <w:t xml:space="preserve">4.1.0.1</w:t>
      </w:r>
      <w:r>
        <w:rPr>
          <w:rFonts w:ascii="Arial" w:hAnsi="Arial"/>
          <w:b/>
          <w:i/>
          <w:sz w:val="19"/>
        </w:rPr>
        <w:tab/>
      </w:r>
      <w:r>
        <w:rPr>
          <w:rFonts w:ascii="Arial" w:hAnsi="Arial"/>
          <w:b/>
          <w:i/>
          <w:sz w:val="19"/>
        </w:rPr>
        <w:t xml:space="preserve">Classification accuracy.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The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Predator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archetype, which reads its posterior to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choose exploitation targets, classifies only 3 of 7 opponents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reliably above the prespecified 0.60 confidence threshold after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1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000 hands: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</w:t>
      </w:r>
      <m:oMath>
        <m:r>
          <m:t>p</m:t>
        </m:r>
        <m:r>
          <m:rPr>
            <m:sty m:val="p"/>
          </m:rPr>
          <m:t>=</m:t>
        </m:r>
        <m:r>
          <m:t>1.00</m:t>
        </m:r>
      </m:oMath>
      <w:r>
        <w:rPr>
          <w:rFonts w:ascii="Times New Roman" w:hAnsi="Times New Roman"/>
          <w:sz w:val="20"/>
        </w:rPr>
        <w:t xml:space="preserve">),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</w:t>
      </w:r>
      <m:oMath>
        <m:r>
          <m:t>p</m:t>
        </m:r>
        <m:r>
          <m:rPr>
            <m:sty m:val="p"/>
          </m:rPr>
          <m:t>≈</m:t>
        </m:r>
        <m:r>
          <m:t>0.82</m:t>
        </m:r>
      </m:oMath>
      <w:r>
        <w:rPr>
          <w:rFonts w:ascii="Times New Roman" w:hAnsi="Times New Roman"/>
          <w:sz w:val="20"/>
        </w:rPr>
        <w:t xml:space="preserve">), and occasionally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Phantom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</w:t>
      </w:r>
      <m:oMath>
        <m:r>
          <m:t>p</m:t>
        </m:r>
        <m:r>
          <m:rPr>
            <m:sty m:val="p"/>
          </m:rPr>
          <m:t>≈</m:t>
        </m:r>
        <m:r>
          <m:t>0.60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some seeds). The remaining four opponents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fall below the threshold on every seed. Three of these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</w:t>
      </w:r>
      <w:r>
        <w:rPr>
          <w:bCs/>
          <w:rFonts w:ascii="Times New Roman" w:hAnsi="Times New Roman"/>
          <w:b/>
          <w:sz w:val="20"/>
        </w:rPr>
        <w:t xml:space="preserve">Sentinel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Mirror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its default state,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Judge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its cooperative state) have byte-identical mean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parameters under the spec; the posterior over them bottoms out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at</w:t>
      </w:r>
      <w:r>
        <w:rPr>
          <w:rFonts w:ascii="Times New Roman" w:hAnsi="Times New Roman"/>
          <w:sz w:val="20"/>
        </w:rP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≈</m:t>
        </m:r>
        <m:r>
          <m:t>1.58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bits regardless of observation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volume—a direct consequence of our design choice rather than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 emergent finding.</w:t>
      </w:r>
    </w:p>
    <w:bookmarkEnd w:id="49"/>
    <w:bookmarkEnd w:id="50"/>
    <w:bookmarkStart w:id="55" w:name="Xec1ea5c49c575925138d24a2fd331838a9be342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4.2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Phase 2: bounded hill-climbing softens but does not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close the trap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Phase 2 produces</w:t>
      </w:r>
      <w:r>
        <w:rPr>
          <w:rFonts w:ascii="Times New Roman" w:hAnsi="Times New Roman"/>
          <w:sz w:val="20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0.637</m:t>
        </m:r>
        <m:r>
          <m:rPr>
            <m:sty m:val="p"/>
          </m:rPr>
          <m:t>±</m:t>
        </m:r>
        <m:r>
          <m:t>0.125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 per-seed values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0.759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0.424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0.719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0.717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0.564</m:t>
        </m:r>
        <m:r>
          <m:rPr>
            <m:sty m:val="p"/>
          </m:rPr>
          <m:t>}</m:t>
        </m:r>
      </m:oMath>
      <w:r>
        <w:rPr>
          <w:rFonts w:ascii="Times New Roman" w:hAnsi="Times New Roman"/>
          <w:sz w:val="20"/>
        </w:rPr>
        <w:t xml:space="preserve">. The shift from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Phase 1 (</w:t>
      </w:r>
      <m:oMath>
        <m:r>
          <m:t>Δ</m:t>
        </m:r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0.116</m:t>
        </m:r>
      </m:oMath>
      <w:r>
        <w:rPr>
          <w:rFonts w:ascii="Times New Roman" w:hAnsi="Times New Roman"/>
          <w:sz w:val="20"/>
        </w:rPr>
        <w:t xml:space="preserve">) is consistent across all five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seeds (per-seed shifts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+</m:t>
        </m:r>
        <m:r>
          <m:t>0.015</m:t>
        </m:r>
      </m:oMath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+</m:t>
        </m:r>
        <m:r>
          <m:t>0.184</m:t>
        </m:r>
      </m:oMath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+</m:t>
        </m:r>
        <m:r>
          <m:t>0.073</m:t>
        </m:r>
      </m:oMath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+</m:t>
        </m:r>
        <m:r>
          <m:t>0.095</m:t>
        </m:r>
      </m:oMath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+</m:t>
        </m:r>
        <m:r>
          <m:t>0.212</m:t>
        </m:r>
      </m:oMath>
      <w:r>
        <w:rPr>
          <w:rFonts w:ascii="Times New Roman" w:hAnsi="Times New Roman"/>
          <w:sz w:val="20"/>
        </w:rPr>
        <w:t xml:space="preserve">). The Opponent Adaptation metric stays at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0.0003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both Phase 1 and Phase 2: aggregate-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reward optimization can drift parameters within the bound box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but cannot, by construction, produce per-opponent strategy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because the hill-climber has no per-opponent parameter slot.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Mean per-agent L1</w:t>
      </w:r>
      <w:r>
        <w:rPr>
          <w:rStyle w:val="FootnoteReference"/>
          <w:rFonts w:ascii="Times New Roman" w:hAnsi="Times New Roman"/>
          <w:sz w:val="20"/>
        </w:rPr>
        <w:footnoteReference w:id="51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drift in parameter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space is approximately</w:t>
      </w:r>
      <w:r>
        <w:rPr>
          <w:rFonts w:ascii="Times New Roman" w:hAnsi="Times New Roman"/>
          <w:sz w:val="20"/>
        </w:rPr>
        <w:t xml:space="preserve"> </w:t>
      </w:r>
      <m:oMath>
        <m:r>
          <m:t>0.3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over</w:t>
      </w:r>
      <w:r>
        <w:rPr>
          <w:rFonts w:ascii="Times New Roman" w:hAnsi="Times New Roman"/>
          <w:sz w:val="20"/>
        </w:rP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hands, meaning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bounded agents stay close to their starting points. Phase 2’s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softening is real but its mechanism is local: the agents trim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worst-performing parts of their stationary policy without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inventing anything qualitatively new.</w:t>
      </w:r>
    </w:p>
    <w:p>
      <w:pPr>
        <w:pStyle w:val="CaptionedFigure"/>
      </w:pPr>
      <w:r>
        <w:rPr>
          <w:rFonts w:ascii="Arial" w:hAnsi="Arial"/>
          <w:sz w:val="18"/>
        </w:rPr>
        <w:drawing>
          <wp:inline>
            <wp:extent cx="5334000" cy="213160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7_phase2_bounded_vs_unbounded_aggressiv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1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rFonts w:ascii="Arial" w:hAnsi="Arial"/>
          <w:b/>
          <w:sz w:val="18"/>
        </w:rPr>
        <w:t xml:space="preserve">Bounded versus unbounded hill-climbing per</w:t>
      </w:r>
      <w:r>
        <w:rPr>
          <w:bCs/>
          <w:rFonts w:ascii="Arial" w:hAnsi="Arial"/>
          <w:b/>
          <w:sz w:val="18"/>
        </w:rPr>
        <w:t xml:space="preserve"> </w:t>
      </w:r>
      <w:r>
        <w:rPr>
          <w:bCs/>
          <w:rFonts w:ascii="Arial" w:hAnsi="Arial"/>
          <w:b/>
          <w:sz w:val="18"/>
        </w:rPr>
        <w:t xml:space="preserve">seed.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Bars compare bounded Phase 2</w:t>
      </w:r>
      <w:r>
        <w:rPr>
          <w:rFonts w:ascii="Arial" w:hAnsi="Arial"/>
          <w:sz w:val="18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(left of each pair)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to aggressive Phase 2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Arial" w:hAnsi="Arial"/>
          <w:sz w:val="18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(right) for the five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canonical seeds. Mean</w:t>
      </w:r>
      <w:r>
        <w:rPr>
          <w:rFonts w:ascii="Arial" w:hAnsi="Arial"/>
          <w:sz w:val="18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shifts by only</w:t>
      </w:r>
      <w:r>
        <w:rPr>
          <w:rFonts w:ascii="Arial" w:hAnsi="Arial"/>
          <w:sz w:val="18"/>
        </w:rPr>
        <w:t xml:space="preserve"> </w:t>
      </w:r>
      <m:oMath>
        <m:r>
          <m:rPr>
            <m:sty m:val="p"/>
          </m:rPr>
          <m:t>+</m:t>
        </m:r>
        <m:r>
          <m:t>0.028</m:t>
        </m:r>
      </m:oMath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when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bounds are removed and the optimizer step size is raised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fivefold; per-seed variance triples.</w:t>
      </w:r>
    </w:p>
    <w:bookmarkEnd w:id="55"/>
    <w:bookmarkStart w:id="62" w:name="Xd85fbd7dd2b27c73fdb4b678a47346e620fc769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4.3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Phase 2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Arial" w:hAnsi="Arial"/>
          <w:b/>
          <w:sz w:val="20"/>
        </w:rPr>
        <w:t xml:space="preserve">: unbounded hill-climbing fails the same way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Phase 2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produces</w:t>
      </w:r>
      <w:r>
        <w:rPr>
          <w:rFonts w:ascii="Times New Roman" w:hAnsi="Times New Roman"/>
          <w:sz w:val="20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0.609</m:t>
        </m:r>
        <m:r>
          <m:rPr>
            <m:sty m:val="p"/>
          </m:rPr>
          <m:t>±</m:t>
        </m:r>
        <m:r>
          <m:t>0.221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 per-seed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values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0.354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0.700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0.344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0.887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0.759</m:t>
        </m:r>
        <m:r>
          <m:rPr>
            <m:sty m:val="p"/>
          </m:rPr>
          <m:t>}</m:t>
        </m:r>
      </m:oMath>
      <w:r>
        <w:rPr>
          <w:rFonts w:ascii="Times New Roman" w:hAnsi="Times New Roman"/>
          <w:sz w:val="20"/>
        </w:rPr>
        <w:t xml:space="preserve">. The mean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shift from bounded Phase 2 is</w:t>
      </w:r>
      <w:r>
        <w:rPr>
          <w:rFonts w:ascii="Times New Roman" w:hAnsi="Times New Roman"/>
          <w:sz w:val="20"/>
        </w:rPr>
        <w:t xml:space="preserve"> </w:t>
      </w:r>
      <m:oMath>
        <m:r>
          <m:t>Δ</m:t>
        </m:r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0.028</m:t>
        </m:r>
      </m:oMath>
      <w:r>
        <w:rPr>
          <w:rFonts w:ascii="Times New Roman" w:hAnsi="Times New Roman"/>
          <w:sz w:val="20"/>
        </w:rPr>
        <w:t xml:space="preserve">, well within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seed-to-seed standard deviation. Mean per-agent L1 drift is</w:t>
      </w:r>
      <w:r>
        <w:rPr>
          <w:rFonts w:ascii="Times New Roman" w:hAnsi="Times New Roman"/>
          <w:sz w:val="20"/>
        </w:rPr>
        <w:t xml:space="preserve"> </w:t>
      </w:r>
      <m:oMath>
        <m:r>
          <m:t>3.4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</w:t>
      </w:r>
      <m:oMath>
        <m:r>
          <m:t>11</m:t>
        </m:r>
        <m:r>
          <m:rPr>
            <m:sty m:val="p"/>
          </m:rPr>
          <m:t>×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bounded run), so the agents have moved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substantially in parameter space; but the trap holds.</w:t>
      </w:r>
    </w:p>
    <w:p>
      <w:pPr>
        <w:pStyle w:val="CaptionedFigure"/>
      </w:pPr>
      <w:r>
        <w:rPr>
          <w:rFonts w:ascii="Arial" w:hAnsi="Arial"/>
          <w:sz w:val="18"/>
        </w:rPr>
        <w:drawing>
          <wp:inline>
            <wp:extent cx="5334000" cy="208882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4_nash_convergence_compar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8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rFonts w:ascii="Arial" w:hAnsi="Arial"/>
          <w:b/>
          <w:sz w:val="18"/>
        </w:rPr>
        <w:t xml:space="preserve">The 8-agent population diverges in parameter</w:t>
      </w:r>
      <w:r>
        <w:rPr>
          <w:bCs/>
          <w:rFonts w:ascii="Arial" w:hAnsi="Arial"/>
          <w:b/>
          <w:sz w:val="18"/>
        </w:rPr>
        <w:t xml:space="preserve"> </w:t>
      </w:r>
      <w:r>
        <w:rPr>
          <w:bCs/>
          <w:rFonts w:ascii="Arial" w:hAnsi="Arial"/>
          <w:b/>
          <w:sz w:val="18"/>
        </w:rPr>
        <w:t xml:space="preserve">space.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Mean pairwise</w:t>
      </w:r>
      <w:r>
        <w:rPr>
          <w:rFonts w:ascii="Arial" w:hAnsi="Arial"/>
          <w:sz w:val="18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distance between all eight agents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in 36-dim parameter space over</w:t>
      </w:r>
      <w:r>
        <w:rPr>
          <w:rFonts w:ascii="Arial" w:hAnsi="Arial"/>
          <w:sz w:val="18"/>
        </w:rP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hands of unbounded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hill-climbing. (</w:t>
      </w:r>
      <w:r>
        <w:rPr>
          <w:bCs/>
          <w:rFonts w:ascii="Arial" w:hAnsi="Arial"/>
          <w:b/>
          <w:sz w:val="18"/>
        </w:rPr>
        <w:t xml:space="preserve">Left</w:t>
      </w:r>
      <w:r>
        <w:rPr>
          <w:rFonts w:ascii="Arial" w:hAnsi="Arial"/>
          <w:sz w:val="18"/>
        </w:rPr>
        <w:t xml:space="preserve">) Weak HC (</w:t>
      </w:r>
      <m:oMath>
        <m:r>
          <m:t>δ</m:t>
        </m:r>
        <m:r>
          <m:rPr>
            <m:sty m:val="p"/>
          </m:rPr>
          <m:t>=</m:t>
        </m:r>
        <m:r>
          <m:t>0.03</m:t>
        </m:r>
      </m:oMath>
      <w:r>
        <w:rPr>
          <w:rFonts w:ascii="Arial" w:hAnsi="Arial"/>
          <w:sz w:val="18"/>
        </w:rPr>
        <w:t xml:space="preserve">)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leaves agents essentially stationary. (</w:t>
      </w:r>
      <w:r>
        <w:rPr>
          <w:bCs/>
          <w:rFonts w:ascii="Arial" w:hAnsi="Arial"/>
          <w:b/>
          <w:sz w:val="18"/>
        </w:rPr>
        <w:t xml:space="preserve">Right</w:t>
      </w:r>
      <w:r>
        <w:rPr>
          <w:rFonts w:ascii="Arial" w:hAnsi="Arial"/>
          <w:sz w:val="18"/>
        </w:rPr>
        <w:t xml:space="preserve">)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Aggressive HC (</w:t>
      </w:r>
      <m:oMath>
        <m:r>
          <m:t>δ</m:t>
        </m:r>
        <m:r>
          <m:rPr>
            <m:sty m:val="p"/>
          </m:rPr>
          <m:t>=</m:t>
        </m:r>
        <m:r>
          <m:t>0.15</m:t>
        </m:r>
      </m:oMath>
      <w:r>
        <w:rPr>
          <w:rFonts w:ascii="Arial" w:hAnsi="Arial"/>
          <w:sz w:val="18"/>
        </w:rPr>
        <w:t xml:space="preserve">) drives the population apart on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every seed. Convergence index</w:t>
      </w:r>
      <w:r>
        <w:rPr>
          <w:rFonts w:ascii="Arial" w:hAnsi="Arial"/>
          <w:sz w:val="18"/>
        </w:rP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means agents are more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dispersed at end-of-run than at start.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The reason becomes visible in cluster-spread space. The mean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pairwise</w:t>
      </w:r>
      <w:r>
        <w:rPr>
          <w:rFonts w:ascii="Times New Roman" w:hAnsi="Times New Roman"/>
          <w:sz w:val="20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distance between the eight agents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36-dimensional parameter space grows from an initial</w:t>
      </w:r>
      <w:r>
        <w:rPr>
          <w:rFonts w:ascii="Times New Roman" w:hAnsi="Times New Roman"/>
          <w:sz w:val="20"/>
        </w:rPr>
        <w:t xml:space="preserve"> </w:t>
      </w:r>
      <m:oMath>
        <m:r>
          <m:t>5.82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to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≥</m:t>
        </m:r>
        <m:r>
          <m:t>7.5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on every seed; the mean ratio of final to initial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cluster spread is</w:t>
      </w:r>
      <w:r>
        <w:rPr>
          <w:rFonts w:ascii="Times New Roman" w:hAnsi="Times New Roman"/>
          <w:sz w:val="20"/>
        </w:rPr>
        <w:t xml:space="preserve"> </w:t>
      </w:r>
      <m:oMath>
        <m:r>
          <m:t>1.324</m:t>
        </m:r>
      </m:oMath>
      <w:r>
        <w:rPr>
          <w:rFonts w:ascii="Times New Roman" w:hAnsi="Times New Roman"/>
          <w:sz w:val="20"/>
        </w:rPr>
        <w:t xml:space="preserve">. The agents are moving 11 times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harder than under bounded HC, but they are moving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apart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not toward a common Nash-like profile.</w:t>
      </w:r>
    </w:p>
    <w:p>
      <w:pPr>
        <w:pStyle w:val="CaptionedFigure"/>
      </w:pPr>
      <w:r>
        <w:rPr>
          <w:rFonts w:ascii="Arial" w:hAnsi="Arial"/>
          <w:sz w:val="18"/>
        </w:rPr>
        <w:drawing>
          <wp:inline>
            <wp:extent cx="5334000" cy="249532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param_drift_unbounded_aggressiv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rFonts w:ascii="Arial" w:hAnsi="Arial"/>
          <w:b/>
          <w:sz w:val="18"/>
        </w:rPr>
        <w:t xml:space="preserve">Per-archetype</w:t>
      </w:r>
      <w:r>
        <w:rPr>
          <w:bCs/>
          <w:rFonts w:ascii="Arial" w:hAnsi="Arial"/>
          <w:b/>
          <w:sz w:val="18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Cs/>
          <w:rFonts w:ascii="Arial" w:hAnsi="Arial"/>
          <w:b/>
          <w:sz w:val="18"/>
        </w:rPr>
        <w:t xml:space="preserve"> </w:t>
      </w:r>
      <w:r>
        <w:rPr>
          <w:bCs/>
          <w:rFonts w:ascii="Arial" w:hAnsi="Arial"/>
          <w:b/>
          <w:sz w:val="18"/>
        </w:rPr>
        <w:t xml:space="preserve">drift from Phase 1 starting</w:t>
      </w:r>
      <w:r>
        <w:rPr>
          <w:bCs/>
          <w:rFonts w:ascii="Arial" w:hAnsi="Arial"/>
          <w:b/>
          <w:sz w:val="18"/>
        </w:rPr>
        <w:t xml:space="preserve"> </w:t>
      </w:r>
      <w:r>
        <w:rPr>
          <w:bCs/>
          <w:rFonts w:ascii="Arial" w:hAnsi="Arial"/>
          <w:b/>
          <w:sz w:val="18"/>
        </w:rPr>
        <w:t xml:space="preserve">parameters under aggressive unbounded hill-climbing.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Every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archetype moves significantly (mean drift</w:t>
      </w:r>
      <w:r>
        <w:rPr>
          <w:rFonts w:ascii="Arial" w:hAnsi="Arial"/>
          <w:sz w:val="18"/>
        </w:rPr>
        <w:t xml:space="preserve"> </w:t>
      </w:r>
      <m:oMath>
        <m:r>
          <m:t>3.4</m:t>
        </m:r>
      </m:oMath>
      <w:r>
        <w:rPr>
          <w:rFonts w:ascii="Arial" w:hAnsi="Arial"/>
          <w:sz w:val="18"/>
        </w:rPr>
        <w:t xml:space="preserve">), but no two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archetypes move toward the same target. Trajectories are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color-coded by archetype.</w:t>
      </w:r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’s mean stack remains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∼</m:t>
        </m:r>
        <m:r>
          <m:t>6</m:t>
        </m:r>
        <m:r>
          <m:rPr>
            <m:sty m:val="p"/>
          </m:rPr>
          <m:t>×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next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archetype;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still incurs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∼</m:t>
        </m:r>
        <m:r>
          <m:t>28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rebuys per seed.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economic ordering does not change. We attribute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non-convergence to three structural causes that we believe would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survive any specific optimizer choice—non-stationary feedback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from the lagging trust posterior, multi-agent simultaneity, and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axis-aligned coordinate descent in 36 dimensions—and we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elaborate in the Discussion.</w:t>
      </w:r>
    </w:p>
    <w:bookmarkEnd w:id="62"/>
    <w:bookmarkStart w:id="67" w:name="X03031223673c1918fb804bd445ad961b80069e7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4.4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Phase 3: language models alone do not break the trap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Phase 3 produces</w:t>
      </w:r>
      <w:r>
        <w:rPr>
          <w:rFonts w:ascii="Times New Roman" w:hAnsi="Times New Roman"/>
          <w:sz w:val="20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0.510</m:t>
        </m:r>
        <m:r>
          <m:rPr>
            <m:sty m:val="p"/>
          </m:rPr>
          <m:t>±</m:t>
        </m:r>
        <m:r>
          <m:t>0.268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 per-seed values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0.884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0.525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0.171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0.712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0.259</m:t>
        </m:r>
        <m:r>
          <m:rPr>
            <m:sty m:val="p"/>
          </m:rPr>
          <m:t>}</m:t>
        </m:r>
      </m:oMath>
      <w:r>
        <w:rPr>
          <w:rFonts w:ascii="Times New Roman" w:hAnsi="Times New Roman"/>
          <w:sz w:val="20"/>
        </w:rPr>
        <w:t xml:space="preserve">. The shift from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Phase 2 (</w:t>
      </w:r>
      <m:oMath>
        <m:r>
          <m:t>Δ</m:t>
        </m:r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0.127</m:t>
        </m:r>
      </m:oMath>
      <w:r>
        <w:rPr>
          <w:rFonts w:ascii="Times New Roman" w:hAnsi="Times New Roman"/>
          <w:sz w:val="20"/>
        </w:rPr>
        <w:t xml:space="preserve">) matches the Phase 1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Phase 2 step in magnitude. Per-seed variance is roughly twice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Phase 2’s (</w:t>
      </w:r>
      <m:oMath>
        <m:r>
          <m:t>0.268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vs</w:t>
      </w:r>
      <w:r>
        <w:rPr>
          <w:rFonts w:ascii="Times New Roman" w:hAnsi="Times New Roman"/>
          <w:sz w:val="20"/>
        </w:rPr>
        <w:t xml:space="preserve"> </w:t>
      </w:r>
      <m:oMath>
        <m:r>
          <m:t>0.125</m:t>
        </m:r>
      </m:oMath>
      <w:r>
        <w:rPr>
          <w:rFonts w:ascii="Times New Roman" w:hAnsi="Times New Roman"/>
          <w:sz w:val="20"/>
        </w:rPr>
        <w:t xml:space="preserve">). Four of six behavioral-dimension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targets are missed; three move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backward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relative to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Phases 1 and 2 (Table </w:t>
      </w:r>
      <w:hyperlink w:anchor="tab:behavioral-shift">
        <w:r>
          <w:rPr>
            <w:rStyle w:val="Hyperlink"/>
          </w:rPr>
          <w:t xml:space="preserve">[tab:behavioral-shift]</w:t>
        </w:r>
      </w:hyperlink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reports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per-archetype VPIP</w:t>
      </w:r>
      <w:r>
        <w:rPr>
          <w:rStyle w:val="FootnoteReference"/>
          <w:rFonts w:ascii="Times New Roman" w:hAnsi="Times New Roman"/>
          <w:sz w:val="20"/>
        </w:rPr>
        <w:footnoteReference w:id="63"/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PFR</w:t>
      </w:r>
      <w:r>
        <w:rPr>
          <w:rStyle w:val="FootnoteReference"/>
          <w:rFonts w:ascii="Times New Roman" w:hAnsi="Times New Roman"/>
          <w:sz w:val="20"/>
        </w:rPr>
        <w:footnoteReference w:id="64"/>
      </w:r>
      <w:r>
        <w:rPr>
          <w:rFonts w:ascii="Times New Roman" w:hAnsi="Times New Roman"/>
          <w:sz w:val="20"/>
        </w:rPr>
        <w:t xml:space="preserve">, and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AF</w:t>
      </w:r>
      <w:r>
        <w:rPr>
          <w:rStyle w:val="FootnoteReference"/>
          <w:rFonts w:ascii="Times New Roman" w:hAnsi="Times New Roman"/>
          <w:sz w:val="20"/>
        </w:rPr>
        <w:footnoteReference w:id="65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fingerprints): CS drops from</w:t>
      </w:r>
      <w:r>
        <w:rPr>
          <w:rFonts w:ascii="Times New Roman" w:hAnsi="Times New Roman"/>
          <w:sz w:val="20"/>
        </w:rPr>
        <w:t xml:space="preserve"> </w:t>
      </w:r>
      <m:oMath>
        <m:r>
          <m:t>0.142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to</w:t>
      </w:r>
      <w:r>
        <w:rPr>
          <w:rFonts w:ascii="Times New Roman" w:hAnsi="Times New Roman"/>
          <w:sz w:val="20"/>
        </w:rPr>
        <w:t xml:space="preserve"> </w:t>
      </w:r>
      <m:oMath>
        <m:r>
          <m:t>0.076</m:t>
        </m:r>
      </m:oMath>
      <w:r>
        <w:rPr>
          <w:rFonts w:ascii="Times New Roman" w:hAnsi="Times New Roman"/>
          <w:sz w:val="20"/>
        </w:rPr>
        <w:t xml:space="preserve">, NS collapses to</w:t>
      </w:r>
      <w:r>
        <w:rPr>
          <w:rFonts w:ascii="Times New Roman" w:hAnsi="Times New Roman"/>
          <w:sz w:val="20"/>
        </w:rPr>
        <w:t xml:space="preserve"> </w:t>
      </w:r>
      <m:oMath>
        <m:r>
          <m:t>0</m:t>
        </m:r>
      </m:oMath>
      <w:r>
        <w:rPr>
          <w:rFonts w:ascii="Times New Roman" w:hAnsi="Times New Roman"/>
          <w:sz w:val="20"/>
        </w:rPr>
        <w:t xml:space="preserve">, and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SU</w:t>
      </w:r>
      <w:r>
        <w:rPr>
          <w:rStyle w:val="FootnoteReference"/>
          <w:rFonts w:ascii="Times New Roman" w:hAnsi="Times New Roman"/>
          <w:sz w:val="20"/>
        </w:rPr>
        <w:footnoteReference w:id="66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falls from</w:t>
      </w:r>
      <w:r>
        <w:rPr>
          <w:rFonts w:ascii="Times New Roman" w:hAnsi="Times New Roman"/>
          <w:sz w:val="20"/>
        </w:rPr>
        <w:t xml:space="preserve"> </w:t>
      </w:r>
      <m:oMath>
        <m:r>
          <m:t>1.88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to</w:t>
      </w:r>
      <w:r>
        <w:rPr>
          <w:rFonts w:ascii="Times New Roman" w:hAnsi="Times New Roman"/>
          <w:sz w:val="20"/>
        </w:rPr>
        <w:t xml:space="preserve"> </w:t>
      </w:r>
      <m:oMath>
        <m:r>
          <m:t>1.19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bits.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Archetype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VPIP P1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VPIP P3.1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PFR P1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PFR P3.1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AF P1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AF P3.1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oracle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sentinel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firestorm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0.494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0.722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0.453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wall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0.539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phantom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0.437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predator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0.215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mirror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0.214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judge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0.174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1.87</w:t>
            </w:r>
          </w:p>
        </w:tc>
      </w:tr>
    </w:tbl>
    <w:p>
      <w:pPr>
        <w:pStyle w:val="BodyText"/>
      </w:pPr>
      <w:r>
        <w:rPr>
          <w:rFonts w:ascii="Times New Roman" w:hAnsi="Times New Roman"/>
          <w:sz w:val="20"/>
        </w:rPr>
        <w:t xml:space="preserve">Personality specs tell the LLM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what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to do but not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how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to reason. Absent reasoning support, the LLMs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our sample collapse onto a more stereotyped canonical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interpretation of each archetype, becoming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more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classifiable than the explicitly stochastic rule-based versions.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softening from Phase 2 to Phase 3 is therefore not produced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by the same mechanism as Phase 2’s softening; it is mostly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output stochasticity from sampling temperature 1.0.</w:t>
      </w:r>
    </w:p>
    <w:bookmarkEnd w:id="67"/>
    <w:bookmarkStart w:id="77" w:name="X22234dbb09074be1d97998dd54a650fb012fcdd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4.5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Phase 3.1: reasoning scaffolding attenuates the trap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Phase 3.1 produces</w:t>
      </w:r>
      <w:r>
        <w:rPr>
          <w:rFonts w:ascii="Times New Roman" w:hAnsi="Times New Roman"/>
          <w:sz w:val="20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0.094</m:t>
        </m:r>
        <m:r>
          <m:rPr>
            <m:sty m:val="p"/>
          </m:rPr>
          <m:t>±</m:t>
        </m:r>
        <m:r>
          <m:t>0.301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 per-seed values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0.289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0.338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0.327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0.047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0.435</m:t>
        </m:r>
        <m:r>
          <m:rPr>
            <m:sty m:val="p"/>
          </m:rPr>
          <m:t>}</m:t>
        </m:r>
      </m:oMath>
      <w:r>
        <w:rPr>
          <w:rFonts w:ascii="Times New Roman" w:hAnsi="Times New Roman"/>
          <w:sz w:val="20"/>
        </w:rPr>
        <w:t xml:space="preserve">. The mean shift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from Phase 3 (</w:t>
      </w:r>
      <m:oMath>
        <m:r>
          <m:t>Δ</m:t>
        </m:r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0.416</m:t>
        </m:r>
      </m:oMath>
      <w:r>
        <w:rPr>
          <w:rFonts w:ascii="Times New Roman" w:hAnsi="Times New Roman"/>
          <w:sz w:val="20"/>
        </w:rPr>
        <w:t xml:space="preserve">) is the largest single step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the ladder, but the per-seed sample size (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  <w:sz w:val="20"/>
        </w:rPr>
        <w:t xml:space="preserve">) and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150-hand horizon impose substantial uncertainty: the 95%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bootstrap interval</w:t>
      </w:r>
      <w:r>
        <w:rPr>
          <w:rFonts w:ascii="Times New Roman" w:hAnsi="Times New Roman"/>
          <w:sz w:val="20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0.32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+</m:t>
            </m:r>
            <m:r>
              <m:t>0.20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wide enough to include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moderate negative correlations of the kind we report under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bounded Phase 2. Two of five seeds produce per-seed correlations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greater than zero (</w:t>
      </w:r>
      <m:oMath>
        <m:r>
          <m:rPr>
            <m:sty m:val="p"/>
          </m:rPr>
          <m:t>+</m:t>
        </m:r>
        <m:r>
          <m:t>0.047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at seed 512 and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+</m:t>
        </m:r>
        <m:r>
          <m:t>0.435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at seed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1024); with</w:t>
      </w:r>
      <w:r>
        <w:rPr>
          <w:rFonts w:ascii="Times New Roman" w:hAnsi="Times New Roman"/>
          <w:sz w:val="20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archetype pairs per seed, the Fisher-</w:t>
      </w:r>
      <m:oMath>
        <m:r>
          <m:t>z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interval on a per-seed</w:t>
      </w:r>
      <w:r>
        <w:rPr>
          <w:rFonts w:ascii="Times New Roman" w:hAnsi="Times New Roman"/>
          <w:sz w:val="20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0.047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spans roughly</w:t>
      </w:r>
      <w:r>
        <w:rPr>
          <w:rFonts w:ascii="Times New Roman" w:hAnsi="Times New Roman"/>
          <w:sz w:val="20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0.7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+</m:t>
            </m:r>
            <m:r>
              <m:t>0.7</m:t>
            </m:r>
          </m:e>
        </m:d>
      </m:oMath>
      <w:r>
        <w:rPr>
          <w:rFonts w:ascii="Times New Roman" w:hAnsi="Times New Roman"/>
          <w:sz w:val="20"/>
        </w:rPr>
        <w:t xml:space="preserve">, so individual positive seeds are not on their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own evidence of inversion. The combined picture is most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accurately summarized as: the trust–profit correlation under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Phase 3.1 is attenuated relative to all prior phases at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rank-order level, but the present sample is underpowered to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distinguish between full neutralization and a weakened but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nonzero residual trap.</w:t>
      </w:r>
    </w:p>
    <w:p>
      <w:pPr>
        <w:pStyle w:val="CaptionedFigure"/>
      </w:pPr>
      <w:r>
        <w:rPr>
          <w:rFonts w:ascii="Arial" w:hAnsi="Arial"/>
          <w:sz w:val="18"/>
        </w:rPr>
        <w:drawing>
          <wp:inline>
            <wp:extent cx="5334000" cy="370679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3_economic_inversio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rFonts w:ascii="Arial" w:hAnsi="Arial"/>
          <w:b/>
          <w:sz w:val="18"/>
        </w:rPr>
        <w:t xml:space="preserve">Economic ordering inverts from Phase 3 to</w:t>
      </w:r>
      <w:r>
        <w:rPr>
          <w:bCs/>
          <w:rFonts w:ascii="Arial" w:hAnsi="Arial"/>
          <w:b/>
          <w:sz w:val="18"/>
        </w:rPr>
        <w:t xml:space="preserve"> </w:t>
      </w:r>
      <w:r>
        <w:rPr>
          <w:bCs/>
          <w:rFonts w:ascii="Arial" w:hAnsi="Arial"/>
          <w:b/>
          <w:sz w:val="18"/>
        </w:rPr>
        <w:t xml:space="preserve">Phase 3.1.</w:t>
      </w:r>
      <w:r>
        <w:rPr>
          <w:rFonts w:ascii="Arial" w:hAnsi="Arial"/>
          <w:sz w:val="18"/>
        </w:rPr>
        <w:t xml:space="preserve"> </w:t>
      </w:r>
      <w:r>
        <w:rPr>
          <w:bCs/>
          <w:rFonts w:ascii="Arial" w:hAnsi="Arial"/>
          <w:b/>
          <w:sz w:val="18"/>
        </w:rPr>
        <w:t xml:space="preserve">Wall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(trust</w:t>
      </w:r>
      <w:r>
        <w:rPr>
          <w:rFonts w:ascii="Arial" w:hAnsi="Arial"/>
          <w:sz w:val="18"/>
        </w:rPr>
        <w:t xml:space="preserve"> </w:t>
      </w:r>
      <m:oMath>
        <m:r>
          <m:rPr>
            <m:sty m:val="p"/>
          </m:rPr>
          <m:t>≈</m:t>
        </m:r>
        <m:r>
          <m:t>0.85</m:t>
        </m:r>
      </m:oMath>
      <w:r>
        <w:rPr>
          <w:rFonts w:ascii="Arial" w:hAnsi="Arial"/>
          <w:sz w:val="18"/>
        </w:rPr>
        <w:t xml:space="preserve">, highest of any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archetype) was rank 8 of 8 in Phase 3 with</w:t>
      </w:r>
      <w:r>
        <w:rPr>
          <w:rFonts w:ascii="Arial" w:hAnsi="Arial"/>
          <w:sz w:val="18"/>
        </w:rPr>
        <w:t xml:space="preserve"> </w:t>
      </w:r>
      <m:oMath>
        <m:r>
          <m:rPr>
            <m:sty m:val="p"/>
          </m:rPr>
          <m:t>∼</m:t>
        </m:r>
        <m:r>
          <m:t>9</m:t>
        </m:r>
      </m:oMath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rebuys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per seed and becomes rank 1 of 8 in Phase 3.1 with zero rebuys.</w:t>
      </w:r>
      <w:r>
        <w:rPr>
          <w:rFonts w:ascii="Arial" w:hAnsi="Arial"/>
          <w:sz w:val="18"/>
        </w:rPr>
        <w:t xml:space="preserve"> </w:t>
      </w:r>
      <w:r>
        <w:rPr>
          <w:bCs/>
          <w:rFonts w:ascii="Arial" w:hAnsi="Arial"/>
          <w:b/>
          <w:sz w:val="18"/>
        </w:rPr>
        <w:t xml:space="preserve">Firestorm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falls from rank 5 in Phase 3 to rank 2 in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Phase 3.1.</w:t>
      </w:r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’s mean stack rises from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∼</m:t>
        </m:r>
        <m:r>
          <m:t>100</m:t>
        </m:r>
      </m:oMath>
      <w:r>
        <w:rPr>
          <w:rFonts w:ascii="Times New Roman" w:hAnsi="Times New Roman"/>
          <w:sz w:val="20"/>
        </w:rPr>
        <w:t xml:space="preserve">–</w:t>
      </w:r>
      <m:oMath>
        <m:r>
          <m:t>200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chips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Phases 1–3 to</w:t>
      </w:r>
      <w:r>
        <w:rPr>
          <w:rFonts w:ascii="Times New Roman" w:hAnsi="Times New Roman"/>
          <w:sz w:val="20"/>
        </w:rPr>
        <w:t xml:space="preserve"> </w:t>
      </w:r>
      <m:oMath>
        <m:r>
          <m:t>280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Phase 3.1; rebuy count drops from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∼</m:t>
        </m:r>
        <m:r>
          <m:t>9.4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per seed to zero, consistent with the rank-order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claim above. The right panel of Fig. </w:t>
      </w:r>
      <w:hyperlink w:anchor="fig:trust-vs-stack">
        <w:r>
          <w:rPr>
            <w:rStyle w:val="Hyperlink"/>
          </w:rPr>
          <w:t xml:space="preserve">1</w:t>
        </w:r>
      </w:hyperlink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(introduced earlier) shows the trust–stack scatter under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Phase 3.1: the negative slope visible in the Phase 1 panel is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gone. The full per-archetype economic ordering is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Table </w:t>
      </w:r>
      <w:hyperlink w:anchor="tab:archetype-p31">
        <w:r>
          <w:rPr>
            <w:rStyle w:val="Hyperlink"/>
          </w:rPr>
          <w:t xml:space="preserve">[tab:archetype-p31]</w:t>
        </w:r>
      </w:hyperlink>
      <w:r>
        <w:rPr>
          <w:rFonts w:ascii="Times New Roman" w:hAnsi="Times New Roman"/>
          <w:sz w:val="20"/>
        </w:rPr>
        <w:t xml:space="preserve">.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Archetype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Trust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Stack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Rebuys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Rank P3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Rank P3.1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wall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0.849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+7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firestorm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phantom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0.748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mirror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0.728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judge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0.781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sentinel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0.786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predator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oracle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-5</w:t>
            </w:r>
          </w:p>
        </w:tc>
      </w:tr>
    </w:tbl>
    <w:p>
      <w:pPr>
        <w:pStyle w:val="BodyText"/>
      </w:pPr>
      <w:r>
        <w:rPr>
          <w:rFonts w:ascii="Times New Roman" w:hAnsi="Times New Roman"/>
          <w:sz w:val="20"/>
        </w:rPr>
        <w:t xml:space="preserve">Four of six secondary metric targets are met in Phase 3.1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(vs. two of six in Phase 3). Strategic Unpredictability rises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from</w:t>
      </w:r>
      <w:r>
        <w:rPr>
          <w:rFonts w:ascii="Times New Roman" w:hAnsi="Times New Roman"/>
          <w:sz w:val="20"/>
        </w:rPr>
        <w:t xml:space="preserve"> </w:t>
      </w:r>
      <m:oMath>
        <m:r>
          <m:t>1.19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to</w:t>
      </w:r>
      <w:r>
        <w:rPr>
          <w:rFonts w:ascii="Times New Roman" w:hAnsi="Times New Roman"/>
          <w:sz w:val="20"/>
        </w:rPr>
        <w:t xml:space="preserve"> </w:t>
      </w:r>
      <m:oMath>
        <m:r>
          <m:t>1.55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bits, crossing the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&gt;</m:t>
        </m:r>
        <m:r>
          <m:t>1.5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threshold for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first time across all phases. Trust Manipulation Awareness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rises from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+</m:t>
        </m:r>
        <m:r>
          <m:t>0.164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to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+</m:t>
        </m:r>
        <m:r>
          <m:t>0.242</m:t>
        </m:r>
      </m:oMath>
      <w:r>
        <w:rPr>
          <w:rFonts w:ascii="Times New Roman" w:hAnsi="Times New Roman"/>
          <w:sz w:val="20"/>
        </w:rPr>
        <w:t xml:space="preserve">, with six of eight archetypes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showing positive TMA;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Sentinel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show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strongest signals at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+</m:t>
        </m:r>
        <m:r>
          <m:t>0.733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+</m:t>
        </m:r>
        <m:r>
          <m:t>0.704</m:t>
        </m:r>
      </m:oMath>
      <w:r>
        <w:rPr>
          <w:rFonts w:ascii="Times New Roman" w:hAnsi="Times New Roman"/>
          <w:sz w:val="20"/>
        </w:rPr>
        <w:t xml:space="preserve">.</w:t>
      </w:r>
    </w:p>
    <w:p>
      <w:pPr>
        <w:pStyle w:val="CaptionedFigure"/>
      </w:pPr>
      <w:r>
        <w:rPr>
          <w:rFonts w:ascii="Arial" w:hAnsi="Arial"/>
          <w:sz w:val="18"/>
        </w:rPr>
        <w:drawing>
          <wp:inline>
            <wp:extent cx="5334000" cy="307450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tma_by_archetyp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rFonts w:ascii="Arial" w:hAnsi="Arial"/>
          <w:b/>
          <w:sz w:val="18"/>
        </w:rPr>
        <w:t xml:space="preserve">Trust Manipulation Awareness (TMA) per</w:t>
      </w:r>
      <w:r>
        <w:rPr>
          <w:bCs/>
          <w:rFonts w:ascii="Arial" w:hAnsi="Arial"/>
          <w:b/>
          <w:sz w:val="18"/>
        </w:rPr>
        <w:t xml:space="preserve"> </w:t>
      </w:r>
      <w:r>
        <w:rPr>
          <w:bCs/>
          <w:rFonts w:ascii="Arial" w:hAnsi="Arial"/>
          <w:b/>
          <w:sz w:val="18"/>
        </w:rPr>
        <w:t xml:space="preserve">archetype in Phase 3.1.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Positive TMA indicates an agent’s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rolling trust delta correlates with its rolling aggression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delta—building trust through cooperative early play, then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leveraging it for higher-aggression later moves. Six of eight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archetypes show positive TMA;</w:t>
      </w:r>
      <w:r>
        <w:rPr>
          <w:rFonts w:ascii="Arial" w:hAnsi="Arial"/>
          <w:sz w:val="18"/>
        </w:rPr>
        <w:t xml:space="preserve"> </w:t>
      </w:r>
      <w:r>
        <w:rPr>
          <w:bCs/>
          <w:rFonts w:ascii="Arial" w:hAnsi="Arial"/>
          <w:b/>
          <w:sz w:val="18"/>
        </w:rPr>
        <w:t xml:space="preserve">Wall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(</w:t>
      </w:r>
      <m:oMath>
        <m:r>
          <m:rPr>
            <m:sty m:val="p"/>
          </m:rPr>
          <m:t>+</m:t>
        </m:r>
        <m:r>
          <m:t>0.733</m:t>
        </m:r>
      </m:oMath>
      <w:r>
        <w:rPr>
          <w:rFonts w:ascii="Arial" w:hAnsi="Arial"/>
          <w:sz w:val="18"/>
        </w:rPr>
        <w:t xml:space="preserve">) and</w:t>
      </w:r>
      <w:r>
        <w:rPr>
          <w:rFonts w:ascii="Arial" w:hAnsi="Arial"/>
          <w:sz w:val="18"/>
        </w:rPr>
        <w:t xml:space="preserve"> </w:t>
      </w:r>
      <w:r>
        <w:rPr>
          <w:bCs/>
          <w:rFonts w:ascii="Arial" w:hAnsi="Arial"/>
          <w:b/>
          <w:sz w:val="18"/>
        </w:rPr>
        <w:t xml:space="preserve">Sentinel</w:t>
      </w:r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sz w:val="18"/>
        </w:rPr>
        <w:t xml:space="preserve">(</w:t>
      </w:r>
      <m:oMath>
        <m:r>
          <m:rPr>
            <m:sty m:val="p"/>
          </m:rPr>
          <m:t>+</m:t>
        </m:r>
        <m:r>
          <m:t>0.704</m:t>
        </m:r>
      </m:oMath>
      <w:r>
        <w:rPr>
          <w:rFonts w:ascii="Arial" w:hAnsi="Arial"/>
          <w:sz w:val="18"/>
        </w:rPr>
        <w:t xml:space="preserve">) are the strongest.</w:t>
      </w:r>
    </w:p>
    <w:bookmarkStart w:id="74" w:name="tab:tma"/>
    <w:p>
      <w:pPr>
        <w:pStyle w:val="TableCaption"/>
      </w:pPr>
      <w:r>
        <w:rPr>
          <w:rFonts w:ascii="Arial" w:hAnsi="Arial"/>
          <w:sz w:val="18"/>
        </w:rPr>
        <w:t xml:space="preserve">Trust Manipulation Awareness (TMA) per archetype in Phase 3.1. Positive TMA = the agent gains trust before exploiting it. Six of eight archetypes farm, with Wall and Sentinel showing the strongest signals.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Caption w:val="Trust Manipulation Awareness (TMA) per archetype in Phase 3.1. Positive TMA = the agent gains trust before exploiting it. Six of eight archetypes farm, with Wall and Sentinel showing the strongest signal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Archetype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TMA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wall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+0.733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farming (heavy)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sentinel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+0.704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farming (heavy)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predator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+0.625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farming (heavy)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phantom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+0.286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farming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judge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+0.116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farming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oracle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+0.065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farming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mirror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-0.277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firestorm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ascii="Times New Roman" w:hAnsi="Times New Roman"/>
                <w:sz w:val="18"/>
              </w:rPr>
              <w:t xml:space="preserve">-0.313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reactive</w:t>
            </w:r>
          </w:p>
        </w:tc>
      </w:tr>
    </w:tbl>
    <w:bookmarkEnd w:id="74"/>
    <w:p>
      <w:pPr>
        <w:pStyle w:val="BodyText"/>
      </w:pPr>
      <w:r>
        <w:rPr>
          <w:rFonts w:ascii="Times New Roman" w:hAnsi="Times New Roman"/>
          <w:sz w:val="20"/>
        </w:rPr>
        <w:t xml:space="preserve">The mechanism behind these numbers is most concretely visible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 single hand. Box 2 reproduces Phase 3.1 hand #146: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holding</w:t>
      </w:r>
      <w:r>
        <w:rPr>
          <w:rFonts w:ascii="Times New Roman" w:hAnsi="Times New Roman"/>
          <w:sz w:val="20"/>
        </w:rPr>
        <w:t xml:space="preserve"> </w:t>
      </w:r>
      <m:oMath>
        <m:r>
          <m:t>K</m:t>
        </m:r>
        <m:r>
          <m:rPr>
            <m:sty m:val="p"/>
          </m:rPr>
          <m:t>♡</m:t>
        </m:r>
        <m:r>
          <m:t> </m:t>
        </m:r>
        <m:r>
          <m:t>Q</m:t>
        </m:r>
        <m:r>
          <m:rPr>
            <m:sty m:val="p"/>
          </m:rPr>
          <m:t>♡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(rank</w:t>
      </w:r>
      <w:r>
        <w:rPr>
          <w:rFonts w:ascii="Times New Roman" w:hAnsi="Times New Roman"/>
          <w:sz w:val="20"/>
        </w:rPr>
        <w:t xml:space="preserve"> </w:t>
      </w:r>
      <m:oMath>
        <m:r>
          <m:t>872</m:t>
        </m:r>
      </m:oMath>
      <w:r>
        <w:rPr>
          <w:rFonts w:ascii="Times New Roman" w:hAnsi="Times New Roman"/>
          <w:sz w:val="20"/>
        </w:rPr>
        <w:t xml:space="preserve">) calls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 flop continuation bet</w:t>
      </w:r>
      <w:r>
        <w:rPr>
          <w:rStyle w:val="FootnoteReference"/>
          <w:rFonts w:ascii="Times New Roman" w:hAnsi="Times New Roman"/>
          <w:sz w:val="20"/>
        </w:rPr>
        <w:footnoteReference w:id="75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 a turn barrel from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, reads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’s river check as a tell</w:t>
      </w:r>
      <w:r>
        <w:rPr>
          <w:rStyle w:val="FootnoteReference"/>
          <w:rFonts w:ascii="Times New Roman" w:hAnsi="Times New Roman"/>
          <w:sz w:val="20"/>
        </w:rPr>
        <w:footnoteReference w:id="76"/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bets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river for value, and wins 32 chips. Canonical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never bets the river in any Phase 1, Phase 2, or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Phase 3 dataset; Phase 3.1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, with reasoning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scaffolding, does.</w:t>
      </w:r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Setup.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Seed 42, hand 146.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(seat 3) is dealt</w:t>
      </w:r>
      <w:r>
        <w:rPr>
          <w:rFonts w:ascii="Times New Roman" w:hAnsi="Times New Roman"/>
          <w:sz w:val="20"/>
        </w:rPr>
        <w:t xml:space="preserve"> </w:t>
      </w:r>
      <m:oMath>
        <m:r>
          <m:t>K</m:t>
        </m:r>
        <m:r>
          <m:rPr>
            <m:sty m:val="p"/>
          </m:rPr>
          <m:t>♡</m:t>
        </m:r>
        <m:r>
          <m:t> </m:t>
        </m:r>
        <m:r>
          <m:t>Q</m:t>
        </m:r>
        <m:r>
          <m:rPr>
            <m:sty m:val="p"/>
          </m:rPr>
          <m:t>♡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– rank 872, a strong hand. Final pot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32 chips, showdown.</w:t>
      </w:r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Action sequence: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@r l l l r r N@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Seq &amp; Seat &amp; Round &amp; Action &amp; Amt &amp; Pot &amp; Notes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preflop &amp; raise &amp; 3 &amp; 10 &amp;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8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preflop &amp; call &amp; 2 &amp; 12 &amp; calls 3-bet with K-Q suited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11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flop &amp; bet &amp; 2 &amp; 14 &amp; c-bet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12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flop &amp; call &amp; 2 &amp; 16 &amp;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13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turn &amp; bet &amp; 4 &amp; 20 &amp; second barrel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14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turn &amp; call &amp; 4 &amp; 24 &amp;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15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river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check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0 &amp; 24 &amp;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tell — bluff line abandoned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16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river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bet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4 &amp; 28 &amp;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value bet against checked range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17 &amp;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&amp; river &amp; call &amp; 4 &amp; 32 &amp;</w:t>
      </w:r>
      <w:r>
        <w:rPr>
          <w:rFonts w:ascii="Times New Roman" w:hAnsi="Times New Roman"/>
          <w:sz w:val="20"/>
        </w:rPr>
        <w:br/>
      </w:r>
    </w:p>
    <w:p>
      <w:pPr>
        <w:pStyle w:val="BodyText"/>
      </w:pPr>
      <w:r>
        <w:rPr>
          <w:bCs/>
          <w:rFonts w:ascii="Times New Roman" w:hAnsi="Times New Roman"/>
          <w:b/>
          <w:sz w:val="20"/>
        </w:rPr>
        <w:t xml:space="preserve">Showdown.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m:oMath>
        <m:r>
          <m:t>K</m:t>
        </m:r>
        <m:r>
          <m:rPr>
            <m:sty m:val="p"/>
          </m:rPr>
          <m:t>♡</m:t>
        </m:r>
        <m:r>
          <m:t> </m:t>
        </m:r>
        <m:r>
          <m:t>Q</m:t>
        </m:r>
        <m:r>
          <m:rPr>
            <m:sty m:val="p"/>
          </m:rPr>
          <m:t>♡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(rank 872)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wins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32.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m:oMath>
        <m:r>
          <m:t>8</m:t>
        </m:r>
        <m:r>
          <m:rPr>
            <m:sty m:val="p"/>
          </m:rPr>
          <m:t>♣</m:t>
        </m:r>
        <m:r>
          <m:t> </m:t>
        </m:r>
        <m:r>
          <m:t>Q</m:t>
        </m:r>
        <m:r>
          <m:rPr>
            <m:sty m:val="p"/>
          </m:rPr>
          <m:t>♣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(rank 6075).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Canonical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bCs/>
          <w:rFonts w:ascii="Times New Roman" w:hAnsi="Times New Roman"/>
          <w:b/>
          <w:iCs/>
          <w:i/>
          <w:sz w:val="20"/>
        </w:rPr>
        <w:t xml:space="preserve">Wall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never bets the river in any Phase 1,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Phase 2, or Phase 3 dataset; Phase 3.1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bCs/>
          <w:rFonts w:ascii="Times New Roman" w:hAnsi="Times New Roman"/>
          <w:b/>
          <w:iCs/>
          <w:i/>
          <w:sz w:val="20"/>
        </w:rPr>
        <w:t xml:space="preserve">Wall</w:t>
      </w:r>
      <w:r>
        <w:rPr>
          <w:iCs/>
          <w:rFonts w:ascii="Times New Roman" w:hAnsi="Times New Roman"/>
          <w:i/>
          <w:sz w:val="20"/>
        </w:rPr>
        <w:t xml:space="preserve">, augmented with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chain-of-thought, per-opponent memory, and adaptive strategy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notes, does.</w:t>
      </w:r>
    </w:p>
    <w:bookmarkEnd w:id="77"/>
    <w:bookmarkEnd w:id="78"/>
    <w:bookmarkStart w:id="83" w:name="discussion"/>
    <w:p>
      <w:pPr>
        <w:pStyle w:val="Heading1"/>
        <w:jc w:val="left"/>
        <w:pBdr>
          <w:left w:val="single" w:sz="18" w:space="6" w:color="C8102E"/>
        </w:pBdr>
      </w:pPr>
      <w:r>
        <w:rPr>
          <w:rStyle w:val="SectionNumber"/>
          <w:rFonts w:ascii="Arial" w:hAnsi="Arial"/>
          <w:b/>
          <w:color w:val="000000"/>
          <w:sz w:val="23"/>
        </w:rPr>
        <w:t>5</w:t>
      </w:r>
      <w:r>
        <w:rPr>
          <w:rFonts w:ascii="Arial" w:hAnsi="Arial"/>
          <w:b/>
          <w:color w:val="000000"/>
          <w:sz w:val="23"/>
        </w:rPr>
        <w:tab/>
      </w:r>
      <w:r>
        <w:rPr>
          <w:rFonts w:ascii="Arial" w:hAnsi="Arial"/>
          <w:b/>
          <w:color w:val="000000"/>
          <w:sz w:val="23"/>
        </w:rPr>
        <w:t>DISCUSSION</w:t>
      </w:r>
    </w:p>
    <w:bookmarkStart w:id="79" w:name="the-mechanism-behind-the-trap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5.1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The mechanism behind the trap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The trust trap visible in Phase 1 admits a clean mechanistic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explanation that the Phase 3.1 results then refine. Trust, as we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measure it, is the expected honesty of an opponent under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posterior; a high trust score signals to opponents that the agent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most likely an archetype that only bets with strong hands. For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(honesty 0.96) and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Sentinel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(honesty 0.92),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this belief is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correct</w:t>
      </w:r>
      <w:r>
        <w:rPr>
          <w:rFonts w:ascii="Times New Roman" w:hAnsi="Times New Roman"/>
          <w:sz w:val="20"/>
        </w:rPr>
        <w:t xml:space="preserve">, and that is precisely why it is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costly: when opponents know an agent only bets with strong hands,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they fold against its bets (denying value from those strong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hands) and bet aggressively against its checks (exploiting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information that a check signals weakness). The agent’s honesty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becomes a signal that opponents read and trade against. A low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trust score, conversely, creates strategic ambiguity, and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uses that ambiguity to dominate the table.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phenomenon parallels what economists studying eBay-style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reputation systems have called the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transparency paradox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: predictable cooperation is exploitable.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The mechanism by which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converts ambiguity into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chips deserves comment because it differs structurally from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canonical Iterated Prisoner’s Dilemma result. In pairwise IPD,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Always-Defect is outperformed by Tit-for-Tat because a defector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faces concentrated retaliation. In our 8-player setting,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’s aggression cost is diffused across seven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simultaneous opponents, so the same strategy that would lose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heads-up wins at the full table. Our Tit-for-Tat analogue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</w:t>
      </w:r>
      <w:r>
        <w:rPr>
          <w:bCs/>
          <w:rFonts w:ascii="Times New Roman" w:hAnsi="Times New Roman"/>
          <w:b/>
          <w:sz w:val="20"/>
        </w:rPr>
        <w:t xml:space="preserve">Mirror</w:t>
      </w:r>
      <w:r>
        <w:rPr>
          <w:rFonts w:ascii="Times New Roman" w:hAnsi="Times New Roman"/>
          <w:sz w:val="20"/>
        </w:rPr>
        <w:t xml:space="preserve">) finishes sixth of eight in economic ordering—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suggestive but not definitive evidence that the IPD result fails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to transfer to multi-agent settings with richer action spaces. We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flag this as a direction for follow-up rather than a conclusion,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since a single hand-crafted poker analogue is not a clean test of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IPD literature.</w:t>
      </w:r>
    </w:p>
    <w:bookmarkEnd w:id="79"/>
    <w:bookmarkStart w:id="80" w:name="X9e6c40cad178285c35ddd5d7c7f81b9cea92775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5.2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What numerical optimization can and cannot do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The next three phases of the experiment narrow the space of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possible explanations for why the trap is hard to escape. We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begin with a structural caveat: by construction, three of our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eight archetypes (</w:t>
      </w:r>
      <w:r>
        <w:rPr>
          <w:bCs/>
          <w:rFonts w:ascii="Times New Roman" w:hAnsi="Times New Roman"/>
          <w:b/>
          <w:sz w:val="20"/>
        </w:rPr>
        <w:t xml:space="preserve">Sentinel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Mirror</w:t>
      </w:r>
      <w:r>
        <w:rPr>
          <w:rFonts w:ascii="Times New Roman" w:hAnsi="Times New Roman"/>
          <w:sz w:val="20"/>
        </w:rPr>
        <w:t xml:space="preserve">’s default,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Judge</w:t>
      </w:r>
      <w:r>
        <w:rPr>
          <w:rFonts w:ascii="Times New Roman" w:hAnsi="Times New Roman"/>
          <w:sz w:val="20"/>
        </w:rPr>
        <w:t xml:space="preserve">’s cooperative state) share byte-identical mean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parameters, and the Bayesian posterior cannot distinguish them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regardless of algorithmic sophistication. Classification accuracy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that sub-space is bounded below by the entropy of a uniform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distribution over the three members. This is a definitional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point about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our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archetype space, not an information-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theoretic discovery about reputation systems in general;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empirical question of how rapidly classification accuracy degrades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as inter-archetype distance shrinks toward zero would require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experimentally varying that distance and is outside the scope of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present paper. Real-world monitoring systems—fraud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detection, content moderation, credit scoring—face an analogous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failure mode for moderately-behaved actors with overlapping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profiles, but the analogy is suggestive rather than implied by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our setup.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Within that caveat, the Phase 2 and Phase 2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results argue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against two specific hypotheses about the trap’s origin. Phase 2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(bounded hill-climbing) softens</w:t>
      </w:r>
      <w:r>
        <w:rPr>
          <w:rFonts w:ascii="Times New Roman" w:hAnsi="Times New Roman"/>
          <w:sz w:val="20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by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+</m:t>
        </m:r>
        <m:r>
          <m:t>0.116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while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A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stays pinned at</w:t>
      </w:r>
      <w:r>
        <w:rPr>
          <w:rFonts w:ascii="Times New Roman" w:hAnsi="Times New Roman"/>
          <w:sz w:val="20"/>
        </w:rPr>
        <w:t xml:space="preserve"> </w:t>
      </w:r>
      <m:oMath>
        <m:r>
          <m:t>0.0003</m:t>
        </m:r>
      </m:oMath>
      <w:r>
        <w:rPr>
          <w:rFonts w:ascii="Times New Roman" w:hAnsi="Times New Roman"/>
          <w:sz w:val="20"/>
        </w:rPr>
        <w:t xml:space="preserve">: aggregate-reward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optimization can move agent parameters but cannot, by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construction, produce per-opponent strategy because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hill-climber has no per-opponent parameter slot. Phase 2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(unbounded hill-climbing with</w:t>
      </w:r>
      <w:r>
        <w:rPr>
          <w:rFonts w:ascii="Times New Roman" w:hAnsi="Times New Roman"/>
          <w:sz w:val="20"/>
        </w:rPr>
        <w:t xml:space="preserve"> </w:t>
      </w:r>
      <m:oMath>
        <m:r>
          <m:t>11</m:t>
        </m:r>
        <m:r>
          <m:rPr>
            <m:sty m:val="p"/>
          </m:rPr>
          <m:t>×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greater parameter drift)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softens</w:t>
      </w:r>
      <w:r>
        <w:rPr>
          <w:rFonts w:ascii="Times New Roman" w:hAnsi="Times New Roman"/>
          <w:sz w:val="20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by an additional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+</m:t>
        </m:r>
        <m:r>
          <m:t>0.028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 produces a population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that diverges rather than converges in 36-dimensional parameter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space—evidence against the hypothesis that the archetype-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shaped bound boxes are the binding constraint, though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sub-experiment varies three optimizer parameters at once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(bounds removed, step size raised</w:t>
      </w:r>
      <w:r>
        <w:rPr>
          <w:rFonts w:ascii="Times New Roman" w:hAnsi="Times New Roman"/>
          <w:sz w:val="20"/>
        </w:rP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rPr>
          <w:rFonts w:ascii="Times New Roman" w:hAnsi="Times New Roman"/>
          <w:sz w:val="20"/>
        </w:rPr>
        <w:t xml:space="preserve">, evaluation window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shrunk</w:t>
      </w:r>
      <w:r>
        <w:rPr>
          <w:rFonts w:ascii="Times New Roman" w:hAnsi="Times New Roman"/>
          <w:sz w:val="20"/>
        </w:rP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rPr>
          <w:rFonts w:ascii="Times New Roman" w:hAnsi="Times New Roman"/>
          <w:sz w:val="20"/>
        </w:rPr>
        <w:t xml:space="preserve">) and therefore does not cleanly isolate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parameter-space hypothesis. The non-convergence has three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plausible structural causes that we expect would survive any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specific optimizer choice: the trust posterior is non-stationary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inside each agent’s optimization loop (with</w:t>
      </w:r>
      <w:r>
        <w:rPr>
          <w:rFonts w:ascii="Times New Roman" w:hAnsi="Times New Roman"/>
          <w:sz w:val="20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opponents take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∼</m:t>
        </m:r>
        <m:r>
          <m:t>70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hands to update beliefs after 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strategy change but the evaluation window is 50 hands), all eight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agents climb simultaneously so each trial perturbation is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evaluated against a moving joint behavior, and axis-aligned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coordinate descent in 36 dimensions cannot discover joint optima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even with larger steps. A CMA-ES or REINFORCE optimizer with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∼</m:t>
        </m:r>
        <m:r>
          <m:t>50</m:t>
        </m:r>
        <m:r>
          <m:t> </m:t>
        </m:r>
        <m:r>
          <m:t>000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cycles would search more efficiently, but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first two causes would survive any optimization substrate that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respects the same observation contract.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Phase 3 (LLM personality role-players) softens</w:t>
      </w:r>
      <w:r>
        <w:rPr>
          <w:rFonts w:ascii="Times New Roman" w:hAnsi="Times New Roman"/>
          <w:sz w:val="20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by 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further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+</m:t>
        </m:r>
        <m:r>
          <m:t>0.127</m:t>
        </m:r>
      </m:oMath>
      <w:r>
        <w:rPr>
          <w:rFonts w:ascii="Times New Roman" w:hAnsi="Times New Roman"/>
          <w:sz w:val="20"/>
        </w:rPr>
        <w:t xml:space="preserve">, but the diagnostic metrics suggest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mechanism is not categorically different from Phase 2’s: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behavioral-dimension targets fail in three of four directions,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 the LLMs collapsing onto a more stereotyped interpretation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of each archetype than the explicitly stochastic rule-based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versions. The personality specs tell the agents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what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to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do but not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how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to reason; absent reasoning support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LLMs role-play the spec without spontaneously inventing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opponent-conditional, time-varying, or unpredictable strategy.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Phase 3 softening may therefore be produced by output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stochasticity at sampling temperature 1.0 rather than by 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structural change in agent behavior.</w:t>
      </w:r>
    </w:p>
    <w:bookmarkEnd w:id="80"/>
    <w:bookmarkStart w:id="81" w:name="Xb960717fc3de66c66b8f59820377ad2ce658cf8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5.3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What reasoning adds, and what we can and cannot claim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outside poker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The Phase 3.1 result is consistent with an interpretation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which agent reasoning about the reputation system itself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attenuates the trust–profit correlation. The chain-of-thought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prompt allows a one-step lookahead; the per-opponent memory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gives that reasoning concrete data to condition on;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adaptive strategy notes let the agent update its prior on what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working against which opponent. We claim that all three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scaffolds are required, but this claim rests on an ablation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reported in the supplementary validation suite rather than 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dedicated main-text figure—the ablation deserves promotion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 future revision. The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hand reproduced in Box 2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illustrates the mechanism concretely in a single instance: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reads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’s river check as a tell,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recognizes that K-Q high beats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Firestorm</w:t>
      </w:r>
      <w:r>
        <w:rPr>
          <w:rFonts w:ascii="Times New Roman" w:hAnsi="Times New Roman"/>
          <w:sz w:val="20"/>
        </w:rPr>
        <w:t xml:space="preserve">’s bluffing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range, and bets for value—a sequence that is impossible for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Phase 1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 unreliable for the Phase 3</w:t>
      </w:r>
      <w:r>
        <w:rPr>
          <w:rFonts w:ascii="Times New Roman" w:hAnsi="Times New Roman"/>
          <w:sz w:val="20"/>
        </w:rPr>
        <w:t xml:space="preserve"> 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. A distributional analysis across all Phase 3.1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hands, rather than a single illustrative case, is the natural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follow-up.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These mechanisms suggest hypotheses for real-world reputation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systems, but we emphasize the limit of the analogy: our testbed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a zero-sum game and the proposed exploitation mechanism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(predictable cooperation extracted via fold equity) does not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directly map to positive-sum marketplaces, where the buyer’s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payoff is from the good rather than from out-thinking the seller.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 that caveat, three implications follow as conjectures for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cross-domain follow-up.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Behavioral reputation alone may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be insufficient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without external enforcement, because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observation-based trust can create perverse incentives that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reward exploitative strategies.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Classification systems</w:t>
      </w:r>
      <w:r>
        <w:rPr>
          <w:iCs/>
          <w:rFonts w:ascii="Times New Roman" w:hAnsi="Times New Roman"/>
          <w:i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may have blind spots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for moderately-behaved actors with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overlapping profiles, mirroring our identifiability sub-space.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transparency itself may be costly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when it makes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cooperative strategies too easy to model and exploit. Each of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these would require direct validation in a positive-sum domain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to claim more than analogical inference.</w:t>
      </w:r>
    </w:p>
    <w:bookmarkEnd w:id="81"/>
    <w:bookmarkStart w:id="82" w:name="limitations"/>
    <w:p>
      <w:pPr>
        <w:pStyle w:val="Heading2"/>
      </w:pPr>
      <w:r>
        <w:rPr>
          <w:rStyle w:val="SectionNumber"/>
          <w:rFonts w:ascii="Arial" w:hAnsi="Arial"/>
          <w:b/>
          <w:sz w:val="20"/>
        </w:rPr>
        <w:t xml:space="preserve">5.4</w:t>
      </w:r>
      <w:r>
        <w:rPr>
          <w:rFonts w:ascii="Arial" w:hAnsi="Arial"/>
          <w:b/>
          <w:sz w:val="20"/>
        </w:rPr>
        <w:tab/>
      </w:r>
      <w:r>
        <w:rPr>
          <w:rFonts w:ascii="Arial" w:hAnsi="Arial"/>
          <w:b/>
          <w:sz w:val="20"/>
        </w:rPr>
        <w:t xml:space="preserve">Limitations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Three clusters of limitations remain after the revisions above.</w:t>
      </w:r>
    </w:p>
    <w:p>
      <w:pPr>
        <w:pStyle w:val="BodyText"/>
      </w:pPr>
      <w:r>
        <w:rPr>
          <w:iCs/>
          <w:rFonts w:ascii="Times New Roman" w:hAnsi="Times New Roman"/>
          <w:i/>
          <w:sz w:val="20"/>
        </w:rPr>
        <w:t xml:space="preserve">Statistical power gaps.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headline correlations are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computed across</w:t>
      </w:r>
      <w:r>
        <w:rPr>
          <w:rFonts w:ascii="Times New Roman" w:hAnsi="Times New Roman"/>
          <w:sz w:val="20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random seeds; the Student-</w:t>
      </w:r>
      <m:oMath>
        <m:r>
          <m:t>t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critical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value at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nor/>
            <m:sty m:val="p"/>
          </m:rPr>
          <m:t>df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2.776, which requires</w:t>
      </w:r>
      <w:r>
        <w:rPr>
          <w:rFonts w:ascii="Times New Roman" w:hAnsi="Times New Roman"/>
          <w:sz w:val="20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p</m:t>
                </m:r>
              </m:sub>
            </m:sSub>
          </m:e>
        </m:d>
        <m:r>
          <m:rPr>
            <m:sty m:val="p"/>
          </m:rPr>
          <m:t>&gt;</m:t>
        </m:r>
        <m:r>
          <m:t>0.878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for two-sided significance against zero. The headline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Phase 3.1 result has a 95% bootstrap interval</w:t>
      </w:r>
      <w:r>
        <w:rPr>
          <w:rFonts w:ascii="Times New Roman" w:hAnsi="Times New Roman"/>
          <w:sz w:val="20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0.32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+</m:t>
            </m:r>
            <m:r>
              <m:t>0.20</m:t>
            </m:r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that contains both a fully neutralized correlation and 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moderate residual negative correlation, so we cannot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statistically separate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“</w:t>
      </w:r>
      <w:r>
        <w:rPr>
          <w:rFonts w:ascii="Times New Roman" w:hAnsi="Times New Roman"/>
          <w:sz w:val="20"/>
        </w:rPr>
        <w:t xml:space="preserve">trap broken</w:t>
      </w:r>
      <w:r>
        <w:rPr>
          <w:rFonts w:ascii="Times New Roman" w:hAnsi="Times New Roman"/>
          <w:sz w:val="20"/>
        </w:rPr>
        <w:t xml:space="preserve">”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from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“</w:t>
      </w:r>
      <w:r>
        <w:rPr>
          <w:rFonts w:ascii="Times New Roman" w:hAnsi="Times New Roman"/>
          <w:sz w:val="20"/>
        </w:rPr>
        <w:t xml:space="preserve">trap attenuated</w:t>
      </w:r>
      <w:r>
        <w:rPr>
          <w:rFonts w:ascii="Times New Roman" w:hAnsi="Times New Roman"/>
          <w:sz w:val="20"/>
        </w:rPr>
        <w:t xml:space="preserve">”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at this sample size. Hand counts also differ across phases by an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order of magnitude (10 000 hands/seed in Phases 1–2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/>
          <w:sz w:val="20"/>
        </w:rPr>
        <w:t xml:space="preserve">, 500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Phase 3, 150 in Phase 3.1), which mixes a capability effect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 a statistical-power effect in the cross-phase ladder.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six secondary metrics (TEI, CS, OA, NS, SU, TMA) were chosen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post hoc and are unadjusted for multiple comparisons. The single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highest-leverage follow-up addressing all of these is an</w:t>
      </w:r>
      <w:r>
        <w:rPr>
          <w:rFonts w:ascii="Times New Roman" w:hAnsi="Times New Roman"/>
          <w:sz w:val="20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Phase 3.1 replication at the 500-hand horizon, estimated at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∼</m:t>
        </m:r>
        <m:r>
          <m:rPr>
            <m:sty m:val="p"/>
          </m:rPr>
          <m:t>$</m:t>
        </m:r>
        <m:r>
          <m:t>60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API spend.</w:t>
      </w:r>
    </w:p>
    <w:p>
      <w:pPr>
        <w:pStyle w:val="BodyText"/>
      </w:pPr>
      <w:r>
        <w:rPr>
          <w:iCs/>
          <w:rFonts w:ascii="Times New Roman" w:hAnsi="Times New Roman"/>
          <w:i/>
          <w:sz w:val="20"/>
        </w:rPr>
        <w:t xml:space="preserve">Reproducibility and replication gaps.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canonical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Phase 3 and 3.1 datasets were generated under the Anthropic SDK’s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default sampling temperature of 1.0, while the released codebase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now pins temperature to 0.0; the headline numbers are therefore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not exactly reproducible from the current code without manual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reversion. Phase 3 and 3.1 also use a single model family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(Anthropic Haiku 4.5); a multi-model replication (Gemini Flash,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GPT-4o-mini, or a comparable alternative) is needed to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demonstrate that the attenuation is not model-specific. Finally,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Phase 3.1 three-scaffold deployment (chain-of-thought,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memory, adaptive notes) is currently joint; a clean main-text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ablation isolating each component’s contribution is the second-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most-important missing experiment.</w:t>
      </w:r>
    </w:p>
    <w:p>
      <w:pPr>
        <w:pStyle w:val="BodyText"/>
      </w:pPr>
      <w:r>
        <w:rPr>
          <w:iCs/>
          <w:rFonts w:ascii="Times New Roman" w:hAnsi="Times New Roman"/>
          <w:i/>
          <w:sz w:val="20"/>
        </w:rPr>
        <w:t xml:space="preserve">Design-choice gaps.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Several of our methodological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choices are load-bearing in ways that future work should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disambiguate. The identifiability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“</w:t>
      </w:r>
      <w:r>
        <w:rPr>
          <w:rFonts w:ascii="Times New Roman" w:hAnsi="Times New Roman"/>
          <w:sz w:val="20"/>
        </w:rPr>
        <w:t xml:space="preserve">floor</w:t>
      </w:r>
      <w:r>
        <w:rPr>
          <w:rFonts w:ascii="Times New Roman" w:hAnsi="Times New Roman"/>
          <w:sz w:val="20"/>
        </w:rPr>
        <w:t xml:space="preserve">”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a stipulated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property of our archetype space (three archetypes share mean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parameters), not an emergent finding; the honesty score</w:t>
      </w:r>
      <w:r>
        <w:rPr>
          <w:rFonts w:ascii="Times New Roman" w:hAnsi="Times New Roman"/>
          <w:sz w:val="20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bet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strong</m:t>
            </m:r>
          </m:e>
        </m: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bluff</m:t>
                </m:r>
                <m:r>
                  <m:rPr>
                    <m:sty m:val="p"/>
                  </m:rPr>
                  <m:t>∣</m:t>
                </m:r>
                <m:r>
                  <m:rPr>
                    <m:nor/>
                    <m:sty m:val="p"/>
                  </m:rPr>
                  <m:t>weak</m:t>
                </m:r>
              </m:e>
            </m:d>
          </m:e>
        </m:d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is one of several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plausible functional forms and the trust–profit correlation is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mechanically anchored on this choice; the rebuy economics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underweight deep chip losses (</w:t>
      </w:r>
      <w:r>
        <w:rPr>
          <w:bCs/>
          <w:rFonts w:ascii="Times New Roman" w:hAnsi="Times New Roman"/>
          <w:b/>
          <w:sz w:val="20"/>
        </w:rPr>
        <w:t xml:space="preserve">Wall</w:t>
      </w:r>
      <w:r>
        <w:rPr>
          <w:rFonts w:ascii="Times New Roman" w:hAnsi="Times New Roman"/>
          <w:sz w:val="20"/>
        </w:rPr>
        <w:t xml:space="preserve">’s 9.4 mean rebuys per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seed in Phase 1 represent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t> </m:t>
        </m:r>
        <m:r>
          <m:t>880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chips of true loss not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visible in the final-stack metric); the Phase 2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sub-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experiment varies three optimizer parameters at once; and Limit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Hold’em is zero-sum among players, while eBay marketplaces,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social networks, and credit systems are positive-sum over trades,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so direct cross-domain inference is rhetorical rather than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warranted.</w:t>
      </w:r>
    </w:p>
    <w:bookmarkEnd w:id="82"/>
    <w:bookmarkEnd w:id="83"/>
    <w:bookmarkStart w:id="84" w:name="conclusion"/>
    <w:p>
      <w:pPr>
        <w:pStyle w:val="Heading1"/>
        <w:jc w:val="left"/>
        <w:pBdr>
          <w:left w:val="single" w:sz="18" w:space="6" w:color="C8102E"/>
        </w:pBdr>
      </w:pPr>
      <w:r>
        <w:rPr>
          <w:rStyle w:val="SectionNumber"/>
          <w:rFonts w:ascii="Arial" w:hAnsi="Arial"/>
          <w:b/>
          <w:color w:val="000000"/>
          <w:sz w:val="23"/>
        </w:rPr>
        <w:t>6</w:t>
      </w:r>
      <w:r>
        <w:rPr>
          <w:rFonts w:ascii="Arial" w:hAnsi="Arial"/>
          <w:b/>
          <w:color w:val="000000"/>
          <w:sz w:val="23"/>
        </w:rPr>
        <w:tab/>
      </w:r>
      <w:r>
        <w:rPr>
          <w:rFonts w:ascii="Arial" w:hAnsi="Arial"/>
          <w:b/>
          <w:color w:val="000000"/>
          <w:sz w:val="23"/>
        </w:rPr>
        <w:t>CONCLUSION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We have presented a controlled simulation study of trust dynamics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8-player Limit Texas Hold’em. Across four agent architectures,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Pearson correlation between agent trust score and final stack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falls along the ladder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−</m:t>
        </m:r>
        <m:r>
          <m:t>0.752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0.637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0.510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0.094</m:t>
        </m:r>
      </m:oMath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 each step accompanied by a confidence interval whose width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exceeds the size of any single inter-phase</w:t>
      </w:r>
      <w:r>
        <w:rPr>
          <w:rFonts w:ascii="Times New Roman" w:hAnsi="Times New Roman"/>
          <w:sz w:val="20"/>
        </w:rPr>
        <w:t xml:space="preserve"> </w:t>
      </w:r>
      <m:oMath>
        <m:r>
          <m:t>Δ</m:t>
        </m:r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/>
          <w:sz w:val="20"/>
        </w:rPr>
        <w:t xml:space="preserve">. We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characterize the rank ordering of the ladder as the robust finding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 the absolute size of each step as a preliminary estimate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requiring replication. An unbounded hill-climbing sub-experiment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with</w:t>
      </w:r>
      <w:r>
        <w:rPr>
          <w:rFonts w:ascii="Times New Roman" w:hAnsi="Times New Roman"/>
          <w:sz w:val="20"/>
        </w:rPr>
        <w:t xml:space="preserve"> </w:t>
      </w:r>
      <m:oMath>
        <m:r>
          <m:t>11</m:t>
        </m:r>
        <m:r>
          <m:rPr>
            <m:sty m:val="p"/>
          </m:rPr>
          <m:t>×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greater parameter drift produces</w:t>
      </w:r>
      <w:r>
        <w:rPr>
          <w:rFonts w:ascii="Times New Roman" w:hAnsi="Times New Roman"/>
          <w:sz w:val="20"/>
        </w:rPr>
        <w:t xml:space="preserve"> </w:t>
      </w:r>
      <m:oMath>
        <m:r>
          <m:t>Δ</m:t>
        </m:r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0.028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from bounded Phase 2 and yields a population that diverges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rather than converges in 36-dimensional parameter space—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preliminary evidence against the hypothesis that the trap is 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bound-box artifact, though Phase 2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varies three optimizer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parameters at once and does not cleanly isolate the bounds.</w:t>
      </w:r>
    </w:p>
    <w:p>
      <w:pPr>
        <w:pStyle w:val="BodyText"/>
      </w:pPr>
      <w:r>
        <w:rPr>
          <w:rFonts w:ascii="Times New Roman" w:hAnsi="Times New Roman"/>
          <w:sz w:val="20"/>
        </w:rPr>
        <w:t xml:space="preserve">Three follow-up experiments are the most important next steps.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First</w:t>
      </w:r>
      <w:r>
        <w:rPr>
          <w:rFonts w:ascii="Times New Roman" w:hAnsi="Times New Roman"/>
          <w:sz w:val="20"/>
        </w:rPr>
        <w:t xml:space="preserve">, an</w:t>
      </w:r>
      <w:r>
        <w:rPr>
          <w:rFonts w:ascii="Times New Roman" w:hAnsi="Times New Roman"/>
          <w:sz w:val="20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Phase 3.1 replication at 500 hands per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seed (matching Phase 3) is the highest-leverage single experiment: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it would tighten the confidence interval on the Phase 3.1 result by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roughly a factor of two and distinguish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“</w:t>
      </w:r>
      <w:r>
        <w:rPr>
          <w:rFonts w:ascii="Times New Roman" w:hAnsi="Times New Roman"/>
          <w:sz w:val="20"/>
        </w:rPr>
        <w:t xml:space="preserve">trap attenuated</w:t>
      </w:r>
      <w:r>
        <w:rPr>
          <w:rFonts w:ascii="Times New Roman" w:hAnsi="Times New Roman"/>
          <w:sz w:val="20"/>
        </w:rPr>
        <w:t xml:space="preserve">”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from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“</w:t>
      </w:r>
      <w:r>
        <w:rPr>
          <w:rFonts w:ascii="Times New Roman" w:hAnsi="Times New Roman"/>
          <w:sz w:val="20"/>
        </w:rPr>
        <w:t xml:space="preserve">trap broken</w:t>
      </w:r>
      <w:r>
        <w:rPr>
          <w:rFonts w:ascii="Times New Roman" w:hAnsi="Times New Roman"/>
          <w:sz w:val="20"/>
        </w:rPr>
        <w:t xml:space="preserve">”</w:t>
      </w:r>
      <w:r>
        <w:rPr>
          <w:rFonts w:ascii="Times New Roman" w:hAnsi="Times New Roman"/>
          <w:sz w:val="20"/>
        </w:rPr>
        <w:t xml:space="preserve">; estimated cost</w:t>
      </w:r>
      <w:r>
        <w:rPr>
          <w:rFonts w:ascii="Times New Roman" w:hAnsi="Times New Roman"/>
          <w:sz w:val="20"/>
        </w:rPr>
        <w:t xml:space="preserve"> </w:t>
      </w:r>
      <m:oMath>
        <m:r>
          <m:rPr>
            <m:sty m:val="p"/>
          </m:rPr>
          <m:t>∼</m:t>
        </m:r>
        <m:r>
          <m:rPr>
            <m:sty m:val="p"/>
          </m:rPr>
          <m:t>$</m:t>
        </m:r>
        <m:r>
          <m:t>60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API spend.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Second</w:t>
      </w:r>
      <w:r>
        <w:rPr>
          <w:rFonts w:ascii="Times New Roman" w:hAnsi="Times New Roman"/>
          <w:sz w:val="20"/>
        </w:rPr>
        <w:t xml:space="preserve">, a clean ablation of the three Phase 3.1 scaffolds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(chain-of-thought, per-opponent memory, adaptive notes) is required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to support the claim that all three are necessary.</w:t>
      </w:r>
      <w:r>
        <w:rPr>
          <w:rFonts w:ascii="Times New Roman" w:hAnsi="Times New Roman"/>
          <w:sz w:val="20"/>
        </w:rPr>
        <w:t xml:space="preserve"> </w:t>
      </w:r>
      <w:r>
        <w:rPr>
          <w:iCs/>
          <w:rFonts w:ascii="Times New Roman" w:hAnsi="Times New Roman"/>
          <w:i/>
          <w:sz w:val="20"/>
        </w:rPr>
        <w:t xml:space="preserve">Third</w:t>
      </w:r>
      <w:r>
        <w:rPr>
          <w:rFonts w:ascii="Times New Roman" w:hAnsi="Times New Roman"/>
          <w:sz w:val="20"/>
        </w:rPr>
        <w:t xml:space="preserve">, a temperature-pinned re-run of Phase 3 and Phase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3.1 at</w:t>
      </w:r>
      <w:r>
        <w:rPr>
          <w:rFonts w:ascii="Times New Roman" w:hAnsi="Times New Roman"/>
          <w:sz w:val="20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0.0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would resolve the open reproducibility caveat.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Beyond these three, a multi-LLM replication, a no-limit Hold’em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extension, and an experimental varying of inter-archetype distance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would each strengthen the present findings.</w:t>
      </w:r>
    </w:p>
    <w:bookmarkEnd w:id="84"/>
    <w:bookmarkStart w:id="93" w:name="sources-and-acknowledgments"/>
    <w:p>
      <w:pPr>
        <w:pStyle w:val="Heading1"/>
        <w:jc w:val="left"/>
        <w:pBdr>
          <w:left w:val="single" w:sz="18" w:space="6" w:color="C8102E"/>
        </w:pBdr>
      </w:pPr>
      <w:r>
        <w:rPr>
          <w:rFonts w:ascii="Arial" w:hAnsi="Arial"/>
          <w:b/>
          <w:color w:val="000000"/>
          <w:sz w:val="23"/>
        </w:rPr>
        <w:t>SOURCES AND ACKNOWLEDGMENTS</w:t>
      </w:r>
    </w:p>
    <w:bookmarkStart w:id="90" w:name="acknowledgments"/>
    <w:p>
      <w:pPr>
        <w:pStyle w:val="Heading2"/>
      </w:pPr>
      <w:r>
        <w:rPr>
          <w:rFonts w:ascii="Arial" w:hAnsi="Arial"/>
          <w:b/>
          <w:sz w:val="20"/>
        </w:rPr>
        <w:t xml:space="preserve">Acknowledgments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We thank Anthropic for the API access that made Phases 3 and 3.1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feasible.</w:t>
      </w:r>
    </w:p>
    <w:bookmarkStart w:id="85" w:name="funding."/>
    <w:p>
      <w:pPr>
        <w:pStyle w:val="Heading4"/>
      </w:pPr>
      <w:r>
        <w:rPr>
          <w:rFonts w:ascii="Arial" w:hAnsi="Arial"/>
          <w:b/>
          <w:i/>
          <w:sz w:val="19"/>
        </w:rPr>
        <w:t xml:space="preserve">Funding.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Anthropic API expenditure was self-funded by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author.</w:t>
      </w:r>
    </w:p>
    <w:bookmarkEnd w:id="85"/>
    <w:bookmarkStart w:id="86" w:name="author-contributions."/>
    <w:p>
      <w:pPr>
        <w:pStyle w:val="Heading4"/>
      </w:pPr>
      <w:r>
        <w:rPr>
          <w:rFonts w:ascii="Arial" w:hAnsi="Arial"/>
          <w:b/>
          <w:i/>
          <w:sz w:val="19"/>
        </w:rPr>
        <w:t xml:space="preserve">Author contributions.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R.A. conceived the study,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implemented the simulation, performed the analysis, and wrote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manuscript.</w:t>
      </w:r>
    </w:p>
    <w:bookmarkEnd w:id="86"/>
    <w:bookmarkStart w:id="87" w:name="competing-interests."/>
    <w:p>
      <w:pPr>
        <w:pStyle w:val="Heading4"/>
      </w:pPr>
      <w:r>
        <w:rPr>
          <w:rFonts w:ascii="Arial" w:hAnsi="Arial"/>
          <w:b/>
          <w:i/>
          <w:sz w:val="19"/>
        </w:rPr>
        <w:t xml:space="preserve">Competing interests.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The author declares no competing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interests.</w:t>
      </w:r>
    </w:p>
    <w:bookmarkEnd w:id="87"/>
    <w:bookmarkStart w:id="89" w:name="data-and-materials-availability."/>
    <w:p>
      <w:pPr>
        <w:pStyle w:val="Heading4"/>
      </w:pPr>
      <w:r>
        <w:rPr>
          <w:rFonts w:ascii="Arial" w:hAnsi="Arial"/>
          <w:b/>
          <w:i/>
          <w:sz w:val="19"/>
        </w:rPr>
        <w:t xml:space="preserve">Data and materials availability.</w:t>
      </w:r>
    </w:p>
    <w:p>
      <w:pPr>
        <w:pStyle w:val="FirstParagraph"/>
      </w:pPr>
      <w:r>
        <w:rPr>
          <w:rFonts w:ascii="Times New Roman" w:hAnsi="Times New Roman"/>
          <w:sz w:val="20"/>
        </w:rPr>
        <w:t xml:space="preserve">The full simulation codebase, SQLite databases, figures, tables,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 analysis scripts are available at</w:t>
      </w:r>
      <w:r>
        <w:rPr>
          <w:rFonts w:ascii="Times New Roman" w:hAnsi="Times New Roman"/>
          <w:sz w:val="20"/>
        </w:rPr>
        <w:t xml:space="preserve"> </w:t>
      </w:r>
      <w:hyperlink r:id="rId88">
        <w:r>
          <w:rPr>
            <w:rStyle w:val="Hyperlink"/>
          </w:rPr>
          <w:t xml:space="preserve">https://github.com/RachitAgrawal146/Poker_trust</w:t>
        </w:r>
      </w:hyperlink>
      <w:r>
        <w:rPr>
          <w:rFonts w:ascii="Times New Roman" w:hAnsi="Times New Roman"/>
          <w:sz w:val="20"/>
        </w:rPr>
        <w:t xml:space="preserve">.</w:t>
      </w:r>
    </w:p>
    <w:bookmarkEnd w:id="89"/>
    <w:bookmarkEnd w:id="90"/>
    <w:bookmarkStart w:id="91" w:name="references"/>
    <w:p>
      <w:pPr>
        <w:pStyle w:val="Heading2"/>
      </w:pPr>
      <w:r>
        <w:rPr>
          <w:rFonts w:ascii="Arial" w:hAnsi="Arial"/>
          <w:b/>
          <w:sz w:val="20"/>
        </w:rPr>
        <w:t xml:space="preserve">References</w:t>
      </w:r>
    </w:p>
    <w:bookmarkEnd w:id="91"/>
    <w:bookmarkStart w:id="92" w:name="supplementary-materials"/>
    <w:p>
      <w:pPr>
        <w:pStyle w:val="Heading2"/>
      </w:pPr>
      <w:r>
        <w:rPr>
          <w:rFonts w:ascii="Arial" w:hAnsi="Arial"/>
          <w:b/>
          <w:sz w:val="20"/>
        </w:rPr>
        <w:t xml:space="preserve">Supplementary Materials</w:t>
      </w:r>
    </w:p>
    <w:p>
      <w:pPr>
        <w:numPr>
          <w:ilvl w:val="0"/>
          <w:numId w:val="1001"/>
        </w:numPr>
      </w:pPr>
      <w:r>
        <w:rPr>
          <w:rFonts w:ascii="Times New Roman" w:hAnsi="Times New Roman"/>
          <w:sz w:val="20"/>
        </w:rPr>
        <w:t xml:space="preserve">Bayesian update worked example:</w:t>
      </w:r>
    </w:p>
    <w:p>
      <w:pPr>
        <w:numPr>
          <w:ilvl w:val="0"/>
          <w:numId w:val="1001"/>
        </w:numPr>
      </w:pPr>
      <w:r>
        <w:rPr>
          <w:rFonts w:ascii="Times New Roman" w:hAnsi="Times New Roman"/>
          <w:sz w:val="20"/>
        </w:rPr>
        <w:t xml:space="preserve">Identifiability ceiling derivation:</w:t>
      </w:r>
      <w:r>
        <w:rPr>
          <w:rFonts w:ascii="Times New Roman" w:hAnsi="Times New Roman"/>
          <w:sz w:val="20"/>
        </w:rPr>
        <w:br/>
      </w:r>
    </w:p>
    <w:p>
      <w:pPr>
        <w:numPr>
          <w:ilvl w:val="0"/>
          <w:numId w:val="1001"/>
        </w:numPr>
      </w:pPr>
      <w:r>
        <w:rPr>
          <w:rFonts w:ascii="Times New Roman" w:hAnsi="Times New Roman"/>
          <w:sz w:val="20"/>
        </w:rPr>
        <w:t xml:space="preserve">Phase 2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unbounded methodology footnote:</w:t>
      </w:r>
      <w:r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br/>
      </w:r>
    </w:p>
    <w:p>
      <w:pPr>
        <w:numPr>
          <w:ilvl w:val="0"/>
          <w:numId w:val="1001"/>
        </w:numPr>
      </w:pPr>
      <w:r>
        <w:rPr>
          <w:rFonts w:ascii="Times New Roman" w:hAnsi="Times New Roman"/>
          <w:sz w:val="20"/>
        </w:rPr>
        <w:t xml:space="preserve">Methods disclosures (temperature, side-pot, CIs):</w:t>
      </w:r>
      <w:r>
        <w:rPr>
          <w:rFonts w:ascii="Times New Roman" w:hAnsi="Times New Roman"/>
          <w:sz w:val="20"/>
        </w:rPr>
        <w:br/>
      </w:r>
    </w:p>
    <w:p>
      <w:pPr>
        <w:numPr>
          <w:ilvl w:val="0"/>
          <w:numId w:val="1001"/>
        </w:numPr>
      </w:pPr>
      <w:r>
        <w:rPr>
          <w:rFonts w:ascii="Times New Roman" w:hAnsi="Times New Roman"/>
          <w:sz w:val="20"/>
        </w:rPr>
        <w:t xml:space="preserve">Bootstrap and Fisher-</w:t>
      </w:r>
      <m:oMath>
        <m:r>
          <m:t>z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CI table:</w:t>
      </w:r>
      <w:r>
        <w:rPr>
          <w:rFonts w:ascii="Times New Roman" w:hAnsi="Times New Roman"/>
          <w:sz w:val="20"/>
        </w:rPr>
        <w:br/>
      </w:r>
    </w:p>
    <w:bookmarkEnd w:id="92"/>
    <w:bookmarkEnd w:id="93"/>
    <w:sectPr>
      <w:headerReference w:type="default" r:id="rId9"/>
      <w:footerReference w:type="default" r:id="rId10"/>
      <w:pgSz w:w="12240" w:h="15840"/>
      <w:pgMar w:top="1224" w:bottom="1224" w:left="1080" w:right="1080" w:header="504" w:foot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C8102E"/>
      </w:pBdr>
      <w:tabs>
        <w:tab w:val="right" w:pos="9360"/>
      </w:tabs>
    </w:pPr>
    <w:r>
      <w:rPr>
        <w:rFonts w:ascii="Times New Roman" w:hAnsi="Times New Roman"/>
        <w:i/>
        <w:color w:val="333333"/>
        <w:sz w:val="16"/>
      </w:rPr>
      <w:t>Agrawal (2026)</w:t>
    </w:r>
    <w:r>
      <w:tab/>
    </w:r>
    <w:r>
      <w:rPr>
        <w:rFonts w:ascii="Times New Roman" w:hAnsi="Times New Roman"/>
        <w:color w:val="333333"/>
        <w:sz w:val="16"/>
      </w:rPr>
      <w:t xml:space="preserve">Page </w:t>
    </w:r>
    <w:r>
      <w:rPr>
        <w:rFonts w:ascii="Times New Roman" w:hAnsi="Times New Roman"/>
        <w:sz w:val="16"/>
        <w:color w:val="333333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two private cards each player is</w:t>
      </w:r>
      <w:r>
        <w:t xml:space="preserve"> </w:t>
      </w:r>
      <w:r>
        <w:t xml:space="preserve">dealt at the start of every hand; only the player can see them.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Limit Texas Hold’em fixes the bet size on</w:t>
      </w:r>
      <w:r>
        <w:t xml:space="preserve"> </w:t>
      </w:r>
      <w:r>
        <w:t xml:space="preserve">each round. In our setup, bets and raises on the first two rounds</w:t>
      </w:r>
      <w:r>
        <w:t xml:space="preserve"> </w:t>
      </w:r>
      <w:r>
        <w:t xml:space="preserve">are 2 chips; on the last two rounds they are 4 chips. No player</w:t>
      </w:r>
      <w:r>
        <w:t xml:space="preserve"> </w:t>
      </w:r>
      <w:r>
        <w:t xml:space="preserve">can place more than four bets in a single round (the</w:t>
      </w:r>
      <w:r>
        <w:t xml:space="preserve"> </w:t>
      </w:r>
      <w:r>
        <w:t xml:space="preserve">“</w:t>
      </w:r>
      <w:r>
        <w:t xml:space="preserve">four-bet</w:t>
      </w:r>
      <w:r>
        <w:t xml:space="preserve"> </w:t>
      </w:r>
      <w:r>
        <w:t xml:space="preserve">cap</w:t>
      </w:r>
      <w:r>
        <w:t xml:space="preserve">”</w:t>
      </w:r>
      <w:r>
        <w:t xml:space="preserve">), which keeps the action space small and the math</w:t>
      </w:r>
      <w:r>
        <w:t xml:space="preserve"> </w:t>
      </w:r>
      <w:r>
        <w:t xml:space="preserve">tractable.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Pearson correlation coefficient measures</w:t>
      </w:r>
      <w:r>
        <w:t xml:space="preserve"> </w:t>
      </w:r>
      <w:r>
        <w:t xml:space="preserve">the linear relationship between two paired variables on a scale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(perfect negative) to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(perfect positive);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w:r>
        <w:t xml:space="preserve">no linear relationship, 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r</m:t>
            </m:r>
          </m:e>
        </m:d>
        <m:r>
          <m:rPr>
            <m:sty m:val="p"/>
          </m:rPr>
          <m:t>≈</m:t>
        </m:r>
        <m:r>
          <m:t>0.5</m:t>
        </m:r>
      </m:oMath>
      <w:r>
        <w:t xml:space="preserve"> </w:t>
      </w:r>
      <w:r>
        <w:t xml:space="preserve">is conventionally a</w:t>
      </w:r>
      <w:r>
        <w:t xml:space="preserve"> </w:t>
      </w:r>
      <w:r>
        <w:t xml:space="preserve">moderate effect.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bluff</w:t>
      </w:r>
      <w:r>
        <w:t xml:space="preserve"> </w:t>
      </w:r>
      <w:r>
        <w:t xml:space="preserve">is</w:t>
      </w:r>
      <w:r>
        <w:t xml:space="preserve"> </w:t>
      </w:r>
      <w:r>
        <w:t xml:space="preserve">a bet made with a weak hand intended to make opponents fold</w:t>
      </w:r>
      <w:r>
        <w:t xml:space="preserve"> </w:t>
      </w:r>
      <w:r>
        <w:t xml:space="preserve">stronger hands; its inverse, a</w:t>
      </w:r>
      <w:r>
        <w:t xml:space="preserve"> </w:t>
      </w:r>
      <w:r>
        <w:rPr>
          <w:iCs/>
          <w:i/>
        </w:rPr>
        <w:t xml:space="preserve">value bet</w:t>
      </w:r>
      <w:r>
        <w:t xml:space="preserve">, is a bet with</w:t>
      </w:r>
      <w:r>
        <w:t xml:space="preserve"> </w:t>
      </w:r>
      <w:r>
        <w:t xml:space="preserve">a strong hand intended to be called by weaker hands.</w:t>
      </w:r>
      <w:r>
        <w:t xml:space="preserve"> </w:t>
      </w:r>
      <w:r>
        <w:rPr>
          <w:iCs/>
          <w:i/>
        </w:rPr>
        <w:t xml:space="preserve">Fold equity</w:t>
      </w:r>
      <w:r>
        <w:t xml:space="preserve"> </w:t>
      </w:r>
      <w:r>
        <w:t xml:space="preserve">is the value an aggressor captures when</w:t>
      </w:r>
      <w:r>
        <w:t xml:space="preserve"> </w:t>
      </w:r>
      <w:r>
        <w:t xml:space="preserve">opponents fold without reaching showdown.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Cs/>
          <w:i/>
        </w:rPr>
        <w:t xml:space="preserve">Chain-of-thought prompting</w:t>
      </w:r>
      <w:r>
        <w:t xml:space="preserve"> </w:t>
      </w:r>
      <w:r>
        <w:t xml:space="preserve">asks a language model to produce a short, explicit reasoning trace</w:t>
      </w:r>
      <w:r>
        <w:t xml:space="preserve"> </w:t>
      </w:r>
      <w:r>
        <w:t xml:space="preserve">before its final answer, instead of jumping straight to the</w:t>
      </w:r>
      <w:r>
        <w:t xml:space="preserve"> </w:t>
      </w:r>
      <w:r>
        <w:t xml:space="preserve">answer. In our setting the reasoning trace is capped at two</w:t>
      </w:r>
      <w:r>
        <w:t xml:space="preserve"> </w:t>
      </w:r>
      <w:r>
        <w:t xml:space="preserve">sentences and the model is then required to emit a final-line</w:t>
      </w:r>
      <w:r>
        <w:t xml:space="preserve"> </w:t>
      </w:r>
      <w:r>
        <w:rPr>
          <w:rStyle w:val="VerbatimChar"/>
        </w:rPr>
        <w:t xml:space="preserve">ACTION:</w:t>
      </w:r>
      <w:r>
        <w:t xml:space="preserve"> </w:t>
      </w:r>
      <w:r>
        <w:t xml:space="preserve">marker.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four betting rounds in</w:t>
      </w:r>
      <w:r>
        <w:t xml:space="preserve"> </w:t>
      </w:r>
      <w:r>
        <w:t xml:space="preserve">Texas Hold’em, in order, are</w:t>
      </w:r>
      <w:r>
        <w:t xml:space="preserve"> </w:t>
      </w:r>
      <w:r>
        <w:rPr>
          <w:iCs/>
          <w:i/>
        </w:rPr>
        <w:t xml:space="preserve">preflop</w:t>
      </w:r>
      <w:r>
        <w:t xml:space="preserve"> </w:t>
      </w:r>
      <w:r>
        <w:t xml:space="preserve">(after each player</w:t>
      </w:r>
      <w:r>
        <w:t xml:space="preserve"> </w:t>
      </w:r>
      <w:r>
        <w:t xml:space="preserve">receives two private</w:t>
      </w:r>
      <w:r>
        <w:t xml:space="preserve"> </w:t>
      </w:r>
      <w:r>
        <w:t xml:space="preserve">“</w:t>
      </w:r>
      <w:r>
        <w:t xml:space="preserve">hole</w:t>
      </w:r>
      <w:r>
        <w:t xml:space="preserve">”</w:t>
      </w:r>
      <w:r>
        <w:t xml:space="preserve"> </w:t>
      </w:r>
      <w:r>
        <w:t xml:space="preserve">cards but before any community</w:t>
      </w:r>
      <w:r>
        <w:t xml:space="preserve"> </w:t>
      </w:r>
      <w:r>
        <w:t xml:space="preserve">cards),</w:t>
      </w:r>
      <w:r>
        <w:t xml:space="preserve"> </w:t>
      </w:r>
      <w:r>
        <w:rPr>
          <w:iCs/>
          <w:i/>
        </w:rPr>
        <w:t xml:space="preserve">flop</w:t>
      </w:r>
      <w:r>
        <w:t xml:space="preserve"> </w:t>
      </w:r>
      <w:r>
        <w:t xml:space="preserve">(after three community cards are dealt</w:t>
      </w:r>
      <w:r>
        <w:t xml:space="preserve"> </w:t>
      </w:r>
      <w:r>
        <w:t xml:space="preserve">simultaneously),</w:t>
      </w:r>
      <w:r>
        <w:t xml:space="preserve"> </w:t>
      </w:r>
      <w:r>
        <w:rPr>
          <w:iCs/>
          <w:i/>
        </w:rPr>
        <w:t xml:space="preserve">turn</w:t>
      </w:r>
      <w:r>
        <w:t xml:space="preserve"> </w:t>
      </w:r>
      <w:r>
        <w:t xml:space="preserve">(after a fourth community card),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river</w:t>
      </w:r>
      <w:r>
        <w:t xml:space="preserve"> </w:t>
      </w:r>
      <w:r>
        <w:t xml:space="preserve">(after a fifth and final community card).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Fixed-limit Texas Hold’em permits at most four raises</w:t>
      </w:r>
      <w:r>
        <w:t xml:space="preserve"> </w:t>
      </w:r>
      <w:r>
        <w:t xml:space="preserve">per betting round; further raises are not allowed.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showdown</w:t>
      </w:r>
      <w:r>
        <w:t xml:space="preserve"> </w:t>
      </w:r>
      <w:r>
        <w:t xml:space="preserve">is the</w:t>
      </w:r>
      <w:r>
        <w:t xml:space="preserve"> </w:t>
      </w:r>
      <w:r>
        <w:t xml:space="preserve">end-of-hand reveal in which all still-active players turn over</w:t>
      </w:r>
      <w:r>
        <w:t xml:space="preserve"> </w:t>
      </w:r>
      <w:r>
        <w:t xml:space="preserve">their hole cards to determine the winner; pots that end with all</w:t>
      </w:r>
      <w:r>
        <w:t xml:space="preserve"> </w:t>
      </w:r>
      <w:r>
        <w:t xml:space="preserve">opponents folding to a single player do not reach showdown.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When a player goes all-in for fewer</w:t>
      </w:r>
      <w:r>
        <w:t xml:space="preserve"> </w:t>
      </w:r>
      <w:r>
        <w:t xml:space="preserve">chips than the largest contributor, the engine creates a</w:t>
      </w:r>
      <w:r>
        <w:t xml:space="preserve"> </w:t>
      </w:r>
      <w:r>
        <w:rPr>
          <w:iCs/>
          <w:i/>
        </w:rPr>
        <w:t xml:space="preserve">side pot</w:t>
      </w:r>
      <w:r>
        <w:t xml:space="preserve"> </w:t>
      </w:r>
      <w:r>
        <w:t xml:space="preserve">for the excess so that the short-stacked player</w:t>
      </w:r>
      <w:r>
        <w:t xml:space="preserve"> </w:t>
      </w:r>
      <w:r>
        <w:t xml:space="preserve">can only win up to the amount they contributed; deeper-stacked</w:t>
      </w:r>
      <w:r>
        <w:t xml:space="preserve"> </w:t>
      </w:r>
      <w:r>
        <w:t xml:space="preserve">players contest the remainder among themselves.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Throughout the archetype descriptions,</w:t>
      </w:r>
      <w:r>
        <w:t xml:space="preserve"> </w:t>
      </w:r>
      <w:r>
        <w:rPr>
          <w:iCs/>
          <w:i/>
        </w:rPr>
        <w:t xml:space="preserve">br</w:t>
      </w:r>
      <w:r>
        <w:t xml:space="preserve"> </w:t>
      </w:r>
      <w:r>
        <w:t xml:space="preserve">= bluff rate (probability of betting on a weak hand),</w:t>
      </w:r>
      <w:r>
        <w:t xml:space="preserve"> </w:t>
      </w:r>
      <w:r>
        <w:rPr>
          <w:iCs/>
          <w:i/>
        </w:rPr>
        <w:t xml:space="preserve">vbr</w:t>
      </w:r>
      <w:r>
        <w:t xml:space="preserve"> </w:t>
      </w:r>
      <w:r>
        <w:t xml:space="preserve">= value-bet rate (probability of betting on a strong</w:t>
      </w:r>
      <w:r>
        <w:t xml:space="preserve"> </w:t>
      </w:r>
      <w:r>
        <w:t xml:space="preserve">hand), and</w:t>
      </w:r>
      <w:r>
        <w:t xml:space="preserve"> </w:t>
      </w:r>
      <w:r>
        <w:rPr>
          <w:iCs/>
          <w:i/>
        </w:rPr>
        <w:t xml:space="preserve">cr</w:t>
      </w:r>
      <w:r>
        <w:t xml:space="preserve"> </w:t>
      </w:r>
      <w:r>
        <w:t xml:space="preserve">= call rate facing a bet on a medium hand.</w:t>
      </w:r>
      <w:r>
        <w:t xml:space="preserve"> </w:t>
      </w:r>
      <w:r>
        <w:t xml:space="preserve">Ranges are the archetype’s Phase 2 hill-climbing bound boxes</w:t>
      </w:r>
      <w:r>
        <w:t xml:space="preserve"> </w:t>
      </w:r>
      <w:r>
        <w:t xml:space="preserve">around its Phase 1 starting parameters.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walkover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uncontested pot</w:t>
      </w:r>
      <w:r>
        <w:t xml:space="preserve">”</w:t>
      </w:r>
      <w:r>
        <w:t xml:space="preserve">) is a hand won without showdown—every other</w:t>
      </w:r>
      <w:r>
        <w:t xml:space="preserve"> </w:t>
      </w:r>
      <w:r>
        <w:t xml:space="preserve">player folded before the cards had to be shown. It is the</w:t>
      </w:r>
      <w:r>
        <w:t xml:space="preserve"> </w:t>
      </w:r>
      <w:r>
        <w:t xml:space="preserve">bread-and-butter outcome for aggressive players who win by making</w:t>
      </w:r>
      <w:r>
        <w:t xml:space="preserve"> </w:t>
      </w:r>
      <w:r>
        <w:t xml:space="preserve">opponents fold rather than by holding the best hand.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Cs/>
          <w:i/>
        </w:rPr>
        <w:t xml:space="preserve">Hand rank</w:t>
      </w:r>
      <w:r>
        <w:t xml:space="preserve"> </w:t>
      </w:r>
      <w:r>
        <w:t xml:space="preserve">is taken from standard 7-card poker equity tables: rank 1 is the</w:t>
      </w:r>
      <w:r>
        <w:t xml:space="preserve"> </w:t>
      </w:r>
      <w:r>
        <w:t xml:space="preserve">strongest possible hand and rank 7,462 is the weakest. Rank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roughly</w:t>
      </w:r>
      <w:r>
        <w:t xml:space="preserve"> </w:t>
      </w:r>
      <w:r>
        <w:t xml:space="preserve">“</w:t>
      </w:r>
      <w:r>
        <w:t xml:space="preserve">top 15% of hands.</w:t>
      </w:r>
      <w:r>
        <w:t xml:space="preserve">”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Cs/>
          <w:i/>
        </w:rPr>
        <w:t xml:space="preserve">3-bet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4-bet</w:t>
      </w:r>
      <w:r>
        <w:t xml:space="preserve"> </w:t>
      </w:r>
      <w:r>
        <w:t xml:space="preserve">refer to</w:t>
      </w:r>
      <w:r>
        <w:t xml:space="preserve"> </w:t>
      </w:r>
      <w:r>
        <w:t xml:space="preserve">successive re-raises. The big blind counts as the first bet; a</w:t>
      </w:r>
      <w:r>
        <w:t xml:space="preserve"> </w:t>
      </w:r>
      <w:r>
        <w:t xml:space="preserve">raise is the 2-bet; a re-raise is the 3-bet; another re-raise is</w:t>
      </w:r>
      <w:r>
        <w:t xml:space="preserve"> </w:t>
      </w:r>
      <w:r>
        <w:t xml:space="preserve">the 4-bet. Under our four-bet cap, no further raises are allowed</w:t>
      </w:r>
      <w:r>
        <w:t xml:space="preserve"> </w:t>
      </w:r>
      <w:r>
        <w:t xml:space="preserve">in the same round.</w:t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distance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parameter vectors is the sum of absolute differences across</w:t>
      </w:r>
      <w:r>
        <w:t xml:space="preserve"> </w:t>
      </w:r>
      <w:r>
        <w:t xml:space="preserve">all 36 (round, action) slots. Larger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the agent has</w:t>
      </w:r>
      <w:r>
        <w:t xml:space="preserve"> </w:t>
      </w:r>
      <w:r>
        <w:t xml:space="preserve">moved further from its starting parameters.</w:t>
      </w:r>
    </w:p>
  </w:footnote>
  <w:footnote w:id="6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Cs/>
          <w:i/>
        </w:rPr>
        <w:t xml:space="preserve">VPIP</w:t>
      </w:r>
      <w:r>
        <w:t xml:space="preserve"> </w:t>
      </w:r>
      <w:r>
        <w:t xml:space="preserve">(voluntarily put in</w:t>
      </w:r>
      <w:r>
        <w:t xml:space="preserve"> </w:t>
      </w:r>
      <w:r>
        <w:t xml:space="preserve">pot) is the percentage of hands in which a player voluntarily</w:t>
      </w:r>
      <w:r>
        <w:t xml:space="preserve"> </w:t>
      </w:r>
      <w:r>
        <w:t xml:space="preserve">put chips into the pot, excluding the forced blinds. High VPIP =</w:t>
      </w:r>
      <w:r>
        <w:t xml:space="preserve"> </w:t>
      </w:r>
      <w:r>
        <w:t xml:space="preserve">loose; low VPIP = tight.</w:t>
      </w:r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Cs/>
          <w:i/>
        </w:rPr>
        <w:t xml:space="preserve">PFR</w:t>
      </w:r>
      <w:r>
        <w:t xml:space="preserve"> </w:t>
      </w:r>
      <w:r>
        <w:t xml:space="preserve">(preflop raise rate) is the percentage</w:t>
      </w:r>
      <w:r>
        <w:t xml:space="preserve"> </w:t>
      </w:r>
      <w:r>
        <w:t xml:space="preserve">of hands in which a player raised before the flop. PFR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VPIP by definition.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Cs/>
          <w:i/>
        </w:rPr>
        <w:t xml:space="preserve">Aggression factor (AF)</w:t>
      </w:r>
      <w:r>
        <w:t xml:space="preserve"> </w:t>
      </w:r>
      <w:r>
        <w:t xml:space="preserve">is the ratio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bets</m:t>
            </m:r>
            <m:r>
              <m:rPr>
                <m:sty m:val="p"/>
              </m:rPr>
              <m:t>+</m:t>
            </m:r>
            <m:r>
              <m:rPr>
                <m:nor/>
                <m:sty m:val="p"/>
              </m:rPr>
              <m:t>raises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calls</m:t>
        </m:r>
      </m:oMath>
      <w:r>
        <w:t xml:space="preserve">. AF</w:t>
      </w:r>
      <w:r>
        <w:t xml:space="preserve"> </w:t>
      </w:r>
      <m:oMath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aggressive; AF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is passive.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Cs/>
          <w:i/>
        </w:rPr>
        <w:t xml:space="preserve">Strategic Unpredictability</w:t>
      </w:r>
      <w:r>
        <w:t xml:space="preserve"> </w:t>
      </w:r>
      <w:r>
        <w:t xml:space="preserve">(SU) is the</w:t>
      </w:r>
      <w:r>
        <w:t xml:space="preserve"> </w:t>
      </w:r>
      <w:r>
        <w:t xml:space="preserve">Shannon entropy in bits over each agent’s action distribution.</w:t>
      </w:r>
      <w:r>
        <w:t xml:space="preserve"> </w:t>
      </w:r>
      <w:r>
        <w:t xml:space="preserve">Higher SU = harder to predict.</w:t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continuation bet</w:t>
      </w:r>
      <w:r>
        <w:t xml:space="preserve"> </w:t>
      </w:r>
      <w:r>
        <w:t xml:space="preserve">(</w:t>
      </w:r>
      <w:r>
        <w:rPr>
          <w:iCs/>
          <w:i/>
        </w:rPr>
        <w:t xml:space="preserve">c-bet</w:t>
      </w:r>
      <w:r>
        <w:t xml:space="preserve">) is a bet made on the flop by the player who</w:t>
      </w:r>
      <w:r>
        <w:t xml:space="preserve"> </w:t>
      </w:r>
      <w:r>
        <w:t xml:space="preserve">took the lead in betting preflop, regardless of whether the</w:t>
      </w:r>
      <w:r>
        <w:t xml:space="preserve"> </w:t>
      </w:r>
      <w:r>
        <w:t xml:space="preserve">flop helped that player’s hand. It is the most common bluff line</w:t>
      </w:r>
      <w:r>
        <w:t xml:space="preserve"> </w:t>
      </w:r>
      <w:r>
        <w:t xml:space="preserve">in modern poker.</w:t>
      </w:r>
    </w:p>
  </w:footnote>
  <w:footnote w:id="7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tell</w:t>
      </w:r>
      <w:r>
        <w:t xml:space="preserve"> </w:t>
      </w:r>
      <w:r>
        <w:t xml:space="preserve">is a behavioral signal that gives information</w:t>
      </w:r>
      <w:r>
        <w:t xml:space="preserve"> </w:t>
      </w:r>
      <w:r>
        <w:t xml:space="preserve">about an opponent’s hand.</w:t>
      </w:r>
      <w:r>
        <w:t xml:space="preserve"> </w:t>
      </w:r>
      <w:r>
        <w:rPr>
          <w:bCs/>
          <w:b/>
        </w:rPr>
        <w:t xml:space="preserve">Wall</w:t>
      </w:r>
      <w:r>
        <w:t xml:space="preserve"> </w:t>
      </w:r>
      <w:r>
        <w:t xml:space="preserve">reads</w:t>
      </w:r>
      <w:r>
        <w:t xml:space="preserve"> </w:t>
      </w:r>
      <w:r>
        <w:rPr>
          <w:bCs/>
          <w:b/>
        </w:rPr>
        <w:t xml:space="preserve">Firestorm</w:t>
      </w:r>
      <w:r>
        <w:t xml:space="preserve">’s</w:t>
      </w:r>
      <w:r>
        <w:t xml:space="preserve"> </w:t>
      </w:r>
      <w:r>
        <w:t xml:space="preserve">river check as a tell because the canonical</w:t>
      </w:r>
      <w:r>
        <w:t xml:space="preserve"> </w:t>
      </w:r>
      <w:r>
        <w:rPr>
          <w:bCs/>
          <w:b/>
        </w:rPr>
        <w:t xml:space="preserve">Firestorm</w:t>
      </w:r>
      <w:r>
        <w:t xml:space="preserve"> </w:t>
      </w:r>
      <w:r>
        <w:t xml:space="preserve">policy bets every street with a real hand; a river check</w:t>
      </w:r>
      <w:r>
        <w:t xml:space="preserve"> </w:t>
      </w:r>
      <w:r>
        <w:t xml:space="preserve">therefore signals that the bluff line has been abandoned.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BBBBB"/>
      </w:pBdr>
    </w:pPr>
    <w:r>
      <w:rPr>
        <w:rFonts w:ascii="Arial" w:hAnsi="Arial"/>
        <w:b/>
        <w:color w:val="333333"/>
        <w:sz w:val="16"/>
      </w:rPr>
      <w:t>RESEARCH</w:t>
    </w:r>
    <w:r>
      <w:rPr>
        <w:rFonts w:ascii="Arial" w:hAnsi="Arial"/>
        <w:b w:val="0"/>
        <w:color w:val="BBBBBB"/>
        <w:sz w:val="16"/>
      </w:rPr>
      <w:t xml:space="preserve">   |   </w:t>
    </w:r>
    <w:r>
      <w:rPr>
        <w:rFonts w:ascii="Arial" w:hAnsi="Arial"/>
        <w:b/>
        <w:color w:val="333333"/>
        <w:sz w:val="16"/>
      </w:rPr>
      <w:t>RESEARCH ARTICLE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68" Type="http://schemas.openxmlformats.org/officeDocument/2006/relationships/image" Target="media/rId68.png"/><Relationship Id="rId44" Type="http://schemas.openxmlformats.org/officeDocument/2006/relationships/image" Target="media/rId44.png"/><Relationship Id="rId71" Type="http://schemas.openxmlformats.org/officeDocument/2006/relationships/image" Target="media/rId71.png"/><Relationship Id="rId52" Type="http://schemas.openxmlformats.org/officeDocument/2006/relationships/image" Target="media/rId52.png"/><Relationship Id="rId59" Type="http://schemas.openxmlformats.org/officeDocument/2006/relationships/image" Target="media/rId59.png"/><Relationship Id="rId56" Type="http://schemas.openxmlformats.org/officeDocument/2006/relationships/image" Target="media/rId56.png"/><Relationship Id="rId88" Type="http://schemas.openxmlformats.org/officeDocument/2006/relationships/hyperlink" Target="https://github.com/RachitAgrawal146/Poker_trust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https://github.com/RachitAgrawal146/Poker_tru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2026-05-27T09:17:39Z</dcterms:created>
  <dcterms:modified xsi:type="dcterms:W3CDTF">2026-05-27T09:17:39Z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