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the worry is that a perfectly predictable cooperator can be</w:t>
      </w:r>
      <w:r>
        <w:t xml:space="preserve"> </w:t>
      </w:r>
      <w:r>
        <w:t xml:space="preserve">planned around and, in principle, exploited. The empirical record is</w:t>
      </w:r>
      <w:r>
        <w:t xml:space="preserve"> </w:t>
      </w:r>
      <w:r>
        <w:t xml:space="preserve">far from settled, though—the cleanest controlled studies of eBay</w:t>
      </w:r>
      <w:r>
        <w:t xml:space="preserve"> </w:t>
      </w:r>
      <w:r>
        <w:t xml:space="preserve">reputation actually find a</w:t>
      </w:r>
      <w:r>
        <w:t xml:space="preserve"> </w:t>
      </w:r>
      <w:r>
        <w:rPr>
          <w:iCs/>
          <w:i/>
        </w:rPr>
        <w:t xml:space="preserve">premium</w:t>
      </w:r>
      <w:r>
        <w:t xml:space="preserve"> </w:t>
      </w:r>
      <w:r>
        <w:t xml:space="preserve">for established sellers</w:t>
      </w:r>
      <w:r>
        <w:t xml:space="preserve"> </w:t>
      </w:r>
      <w:r>
        <w:t xml:space="preserve">rather than a penalty</w:t>
      </w:r>
      <w:r>
        <w:t xml:space="preserve"> </w:t>
      </w:r>
      <w:r>
        <w:t xml:space="preserve">[1], [2]</w:t>
      </w:r>
      <w:r>
        <w:t xml:space="preserve">—so</w:t>
      </w:r>
      <w:r>
        <w:t xml:space="preserve"> </w:t>
      </w:r>
      <w:r>
        <w:t xml:space="preserve">we treat this transparency paradox as a hypothesis to test rather</w:t>
      </w:r>
      <w:r>
        <w:t xml:space="preserve"> </w:t>
      </w:r>
      <w:r>
        <w:t xml:space="preserve">than an established fact, of the kind that predictably behaving</w:t>
      </w:r>
      <w:r>
        <w:t xml:space="preserve"> </w:t>
      </w:r>
      <w:r>
        <w:t xml:space="preserve">market-makers also face</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3"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full per-archetype policy 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3).</w:t>
      </w:r>
      <w:r>
        <w:t xml:space="preserve"> </w:t>
      </w:r>
      <w:r>
        <w:t xml:space="preserve">This is a design choice, not a finding.</w:t>
      </w:r>
    </w:p>
    <w:bookmarkEnd w:id="35"/>
    <w:bookmarkStart w:id="36"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hands.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6"/>
    <w:bookmarkStart w:id="37"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7"/>
    <w:bookmarkStart w:id="42"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8"/>
      </w:r>
      <w:r>
        <w:t xml:space="preserve">,</w:t>
      </w:r>
      <w:r>
        <w:t xml:space="preserve"> </w:t>
      </w:r>
      <w:r>
        <w:t xml:space="preserve">sensitivity to context (CS)</w:t>
      </w:r>
      <w:r>
        <w:rPr>
          <w:rStyle w:val="FootnoteReference"/>
        </w:rPr>
        <w:footnoteReference w:id="39"/>
      </w:r>
      <w:r>
        <w:t xml:space="preserve">, adaptation by the opponent</w:t>
      </w:r>
      <w:r>
        <w:t xml:space="preserve"> </w:t>
      </w:r>
      <w:r>
        <w:t xml:space="preserve">(OA)</w:t>
      </w:r>
      <w:r>
        <w:rPr>
          <w:rStyle w:val="FootnoteReference"/>
        </w:rPr>
        <w:footnoteReference w:id="40"/>
      </w:r>
      <w:r>
        <w:t xml:space="preserve">,</w:t>
      </w:r>
      <w:r>
        <w:t xml:space="preserve"> </w:t>
      </w:r>
      <w:r>
        <w:t xml:space="preserve">non-stationarity (NS)</w:t>
      </w:r>
      <w:r>
        <w:rPr>
          <w:rStyle w:val="FootnoteReference"/>
        </w:rPr>
        <w:footnoteReference w:id="41"/>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2"/>
    <w:bookmarkEnd w:id="43"/>
    <w:bookmarkStart w:id="78"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w:t>
      </w:r>
    </w:p>
    <w:bookmarkStart w:id="51"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4"/>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6" name="Picture"/>
            <a:graphic>
              <a:graphicData uri="http://schemas.openxmlformats.org/drawingml/2006/picture">
                <pic:pic>
                  <pic:nvPicPr>
                    <pic:cNvPr descr="05_trust_vs_stack.png" id="47" name="Picture"/>
                    <pic:cNvPicPr>
                      <a:picLocks noChangeArrowheads="1" noChangeAspect="1"/>
                    </pic:cNvPicPr>
                  </pic:nvPicPr>
                  <pic:blipFill>
                    <a:blip r:embed="rId45"/>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8"/>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9"/>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0"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0"/>
    <w:bookmarkEnd w:id="51"/>
    <w:bookmarkStart w:id="56"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2"/>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4" name="Picture"/>
            <a:graphic>
              <a:graphicData uri="http://schemas.openxmlformats.org/drawingml/2006/picture">
                <pic:pic>
                  <pic:nvPicPr>
                    <pic:cNvPr descr="07_phase2_bounded_vs_unbounded_aggressive.png" id="55" name="Picture"/>
                    <pic:cNvPicPr>
                      <a:picLocks noChangeArrowheads="1" noChangeAspect="1"/>
                    </pic:cNvPicPr>
                  </pic:nvPicPr>
                  <pic:blipFill>
                    <a:blip r:embed="rId53"/>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6"/>
    <w:bookmarkStart w:id="63"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8" name="Picture"/>
            <a:graphic>
              <a:graphicData uri="http://schemas.openxmlformats.org/drawingml/2006/picture">
                <pic:pic>
                  <pic:nvPicPr>
                    <pic:cNvPr descr="14_nash_convergence_compare.png" id="59" name="Picture"/>
                    <pic:cNvPicPr>
                      <a:picLocks noChangeArrowheads="1" noChangeAspect="1"/>
                    </pic:cNvPicPr>
                  </pic:nvPicPr>
                  <pic:blipFill>
                    <a:blip r:embed="rId57"/>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1" name="Picture"/>
            <a:graphic>
              <a:graphicData uri="http://schemas.openxmlformats.org/drawingml/2006/picture">
                <pic:pic>
                  <pic:nvPicPr>
                    <pic:cNvPr descr="10_param_drift_unbounded_aggressive.png" id="62" name="Picture"/>
                    <pic:cNvPicPr>
                      <a:picLocks noChangeArrowheads="1" noChangeAspect="1"/>
                    </pic:cNvPicPr>
                  </pic:nvPicPr>
                  <pic:blipFill>
                    <a:blip r:embed="rId60"/>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3"/>
    <w:bookmarkStart w:id="68"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4"/>
      </w:r>
      <w:r>
        <w:t xml:space="preserve">,</w:t>
      </w:r>
      <w:r>
        <w:t xml:space="preserve"> </w:t>
      </w:r>
      <w:r>
        <w:t xml:space="preserve">PFR</w:t>
      </w:r>
      <w:r>
        <w:rPr>
          <w:rStyle w:val="FootnoteReference"/>
        </w:rPr>
        <w:footnoteReference w:id="65"/>
      </w:r>
      <w:r>
        <w:t xml:space="preserve">, and</w:t>
      </w:r>
      <w:r>
        <w:t xml:space="preserve"> </w:t>
      </w:r>
      <w:r>
        <w:t xml:space="preserve">AF</w:t>
      </w:r>
      <w:r>
        <w:rPr>
          <w:rStyle w:val="FootnoteReference"/>
        </w:rPr>
        <w:footnoteReference w:id="66"/>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7"/>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8"/>
    <w:bookmarkStart w:id="77"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0" name="Picture"/>
            <a:graphic>
              <a:graphicData uri="http://schemas.openxmlformats.org/drawingml/2006/picture">
                <pic:pic>
                  <pic:nvPicPr>
                    <pic:cNvPr descr="03_economic_inversion.png" id="71" name="Picture"/>
                    <pic:cNvPicPr>
                      <a:picLocks noChangeArrowheads="1" noChangeAspect="1"/>
                    </pic:cNvPicPr>
                  </pic:nvPicPr>
                  <pic:blipFill>
                    <a:blip r:embed="rId69"/>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905043"/>
            <wp:effectExtent b="0" l="0" r="0" t="0"/>
            <wp:docPr descr="" title="" id="73" name="Picture"/>
            <a:graphic>
              <a:graphicData uri="http://schemas.openxmlformats.org/drawingml/2006/picture">
                <pic:pic>
                  <pic:nvPicPr>
                    <pic:cNvPr descr="06_tma_by_archetype.png" id="74" name="Picture"/>
                    <pic:cNvPicPr>
                      <a:picLocks noChangeArrowheads="1" noChangeAspect="1"/>
                    </pic:cNvPicPr>
                  </pic:nvPicPr>
                  <pic:blipFill>
                    <a:blip r:embed="rId72"/>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5"/>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6"/>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7"/>
    <w:bookmarkEnd w:id="78"/>
    <w:bookmarkStart w:id="83"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79"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is an instance of the</w:t>
      </w:r>
      <w:r>
        <w:t xml:space="preserve"> </w:t>
      </w:r>
      <w:r>
        <w:rPr>
          <w:iCs/>
          <w:i/>
        </w:rPr>
        <w:t xml:space="preserve">transparency paradox</w:t>
      </w:r>
      <w:r>
        <w:t xml:space="preserve"> </w:t>
      </w:r>
      <w:r>
        <w:t xml:space="preserve">introduced earlier—that predictable cooperation can be</w:t>
      </w:r>
      <w:r>
        <w:t xml:space="preserve"> </w:t>
      </w:r>
      <w:r>
        <w:t xml:space="preserve">exploited—which our zero-sum testbed shows can arise under simple</w:t>
      </w:r>
      <w:r>
        <w:t xml:space="preserve"> </w:t>
      </w:r>
      <w:r>
        <w:t xml:space="preserve">agent policies, even though the empirical reputation record does not</w:t>
      </w:r>
      <w:r>
        <w:t xml:space="preserve"> </w:t>
      </w:r>
      <w:r>
        <w:t xml:space="preserve">establish it for real markets.</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9"/>
    <w:bookmarkStart w:id="80"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 </w:t>
      </w:r>
      <w:r>
        <w:t xml:space="preserve">the</w:t>
      </w:r>
      <w:r>
        <w:t xml:space="preserve"> </w:t>
      </w:r>
      <w:r>
        <w:t xml:space="preserve">effective memory is</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so beliefs take</w:t>
      </w:r>
      <w:r>
        <w:t xml:space="preserve"> </w:t>
      </w:r>
      <w:r>
        <w:t xml:space="preserve">several such windows—on the order of</w:t>
      </w:r>
      <w:r>
        <w:t xml:space="preserve"> </w:t>
      </w:r>
      <m:oMath>
        <m:r>
          <m:t>70</m:t>
        </m:r>
      </m:oMath>
      <w:r>
        <w:t xml:space="preserve"> </w:t>
      </w:r>
      <w:r>
        <w:t xml:space="preserve">hands—to fully</w:t>
      </w:r>
      <w:r>
        <w:t xml:space="preserve"> </w:t>
      </w:r>
      <w:r>
        <w:t xml:space="preserve">re-converge after a strategy change, longer than the 50-hand</w:t>
      </w:r>
      <w:r>
        <w:t xml:space="preserve"> </w:t>
      </w:r>
      <w:r>
        <w:t xml:space="preserve">evaluation window),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0"/>
    <w:bookmarkStart w:id="81"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1"/>
    <w:bookmarkStart w:id="82"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2"/>
    <w:bookmarkEnd w:id="83"/>
    <w:bookmarkStart w:id="84"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4"/>
    <w:bookmarkStart w:id="106" w:name="sources-and-acknowledgments"/>
    <w:p>
      <w:pPr>
        <w:pStyle w:val="Heading1"/>
      </w:pPr>
      <w:r>
        <w:t xml:space="preserve">Sources and Acknowledgments</w:t>
      </w:r>
    </w:p>
    <w:bookmarkStart w:id="90"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5"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5"/>
    <w:bookmarkStart w:id="86"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6"/>
    <w:bookmarkStart w:id="87"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7"/>
    <w:bookmarkStart w:id="89"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8">
        <w:r>
          <w:rPr>
            <w:rStyle w:val="Hyperlink"/>
          </w:rPr>
          <w:t xml:space="preserve">https://github.com/RachitAgrawal146/Poker_trust</w:t>
        </w:r>
      </w:hyperlink>
      <w:r>
        <w:t xml:space="preserve">.</w:t>
      </w:r>
    </w:p>
    <w:bookmarkEnd w:id="89"/>
    <w:bookmarkEnd w:id="90"/>
    <w:bookmarkStart w:id="91" w:name="references"/>
    <w:p>
      <w:pPr>
        <w:pStyle w:val="Heading2"/>
      </w:pPr>
      <w:r>
        <w:t xml:space="preserve">References</w:t>
      </w:r>
    </w:p>
    <w:bookmarkEnd w:id="91"/>
    <w:bookmarkStart w:id="105" w:name="supplementary-materials"/>
    <w:p>
      <w:pPr>
        <w:pStyle w:val="Heading2"/>
      </w:pPr>
      <w:r>
        <w:t xml:space="preserve">Supplementary Materials</w:t>
      </w:r>
    </w:p>
    <w:p>
      <w:pPr>
        <w:pStyle w:val="FirstParagraph"/>
      </w:pPr>
      <w:r>
        <w:t xml:space="preserve">The following supporting materials are available in the project</w:t>
      </w:r>
      <w:r>
        <w:t xml:space="preserve"> </w:t>
      </w:r>
      <w:r>
        <w:t xml:space="preserve">repository:</w:t>
      </w:r>
    </w:p>
    <w:p>
      <w:pPr>
        <w:numPr>
          <w:ilvl w:val="0"/>
          <w:numId w:val="1002"/>
        </w:numPr>
      </w:pPr>
      <w:r>
        <w:rPr>
          <w:bCs/>
          <w:b/>
        </w:rPr>
        <w:t xml:space="preserve">Bayesian update worked example.</w:t>
      </w:r>
    </w:p>
    <w:p>
      <w:pPr>
        <w:numPr>
          <w:ilvl w:val="0"/>
          <w:numId w:val="1002"/>
        </w:numPr>
      </w:pPr>
      <w:r>
        <w:rPr>
          <w:bCs/>
          <w:b/>
        </w:rPr>
        <w:t xml:space="preserve">Identifiability ceiling derivation.</w:t>
      </w:r>
    </w:p>
    <w:p>
      <w:pPr>
        <w:numPr>
          <w:ilvl w:val="0"/>
          <w:numId w:val="1002"/>
        </w:numPr>
      </w:pPr>
      <w:r>
        <w:rPr>
          <w:bCs/>
          <w:b/>
        </w:rPr>
        <w:t xml:space="preserve">Phase 2</w:t>
      </w:r>
      <m:oMath>
        <m:sSup>
          <m:e>
            <m:r>
              <m:t>​</m:t>
            </m:r>
          </m:e>
          <m:sup>
            <m:r>
              <m:rPr>
                <m:sty m:val="p"/>
              </m:rPr>
              <m:t>*</m:t>
            </m:r>
          </m:sup>
        </m:sSup>
      </m:oMath>
      <w:r>
        <w:rPr>
          <w:bCs/>
          <w:b/>
        </w:rPr>
        <w:t xml:space="preserve"> </w:t>
      </w:r>
      <w:r>
        <w:rPr>
          <w:bCs/>
          <w:b/>
        </w:rPr>
        <w:t xml:space="preserve">unbounded-optimization methodology.</w:t>
      </w:r>
    </w:p>
    <w:p>
      <w:pPr>
        <w:numPr>
          <w:ilvl w:val="0"/>
          <w:numId w:val="1002"/>
        </w:numPr>
      </w:pPr>
      <w:r>
        <w:rPr>
          <w:bCs/>
          <w:b/>
        </w:rPr>
        <w:t xml:space="preserve">Methods disclosures</w:t>
      </w:r>
      <w:r>
        <w:t xml:space="preserve"> </w:t>
      </w:r>
      <w:r>
        <w:t xml:space="preserve">(sampling temperature, side-pot construction, confidence intervals).</w:t>
      </w:r>
    </w:p>
    <w:p>
      <w:pPr>
        <w:numPr>
          <w:ilvl w:val="0"/>
          <w:numId w:val="1002"/>
        </w:numPr>
      </w:pPr>
      <w:r>
        <w:rPr>
          <w:bCs/>
          <w:b/>
        </w:rPr>
        <w:t xml:space="preserve">Bootstrap and Fisher-</w:t>
      </w:r>
      <m:oMath>
        <m:r>
          <m:t>z</m:t>
        </m:r>
      </m:oMath>
      <w:r>
        <w:rPr>
          <w:bCs/>
          <w:b/>
        </w:rPr>
        <w:t xml:space="preserve"> </w:t>
      </w:r>
      <w:r>
        <w:rPr>
          <w:bCs/>
          <w:b/>
        </w:rPr>
        <w:t xml:space="preserve">CI table.</w:t>
      </w:r>
    </w:p>
    <w:bookmarkStart w:id="104" w:name="refs"/>
    <w:bookmarkStart w:id="92"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2"/>
    <w:bookmarkStart w:id="93"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3"/>
    <w:bookmarkStart w:id="94"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4"/>
    <w:bookmarkStart w:id="95"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5"/>
    <w:bookmarkStart w:id="96"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6"/>
    <w:bookmarkStart w:id="97"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7"/>
    <w:bookmarkStart w:id="98"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8"/>
    <w:bookmarkStart w:id="99"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9"/>
    <w:bookmarkStart w:id="100"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0"/>
    <w:bookmarkStart w:id="101"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1"/>
    <w:bookmarkStart w:id="102"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2"/>
    <w:bookmarkStart w:id="103"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3"/>
    <w:bookmarkEnd w:id="104"/>
    <w:bookmarkEnd w:id="105"/>
    <w:bookmarkEnd w:id="10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8">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9">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40">
    <w:p>
      <w:pPr>
        <w:pStyle w:val="FootnoteText"/>
      </w:pPr>
      <w:r>
        <w:rPr>
          <w:rStyle w:val="FootnoteReference"/>
        </w:rPr>
        <w:footnoteRef/>
      </w:r>
      <w:r>
        <w:t xml:space="preserve"> </w:t>
      </w:r>
      <w:r>
        <w:rPr>
          <w:iCs/>
          <w:i/>
        </w:rPr>
        <w:t xml:space="preserve">OA</w:t>
      </w:r>
      <w:r>
        <w:t xml:space="preserve"> </w:t>
      </w:r>
      <w:r>
        <w:t xml:space="preserve">(Opponent Adaptation): the variance of an agent’s</w:t>
      </w:r>
      <w:r>
        <w:t xml:space="preserve"> </w:t>
      </w:r>
      <w:r>
        <w:t xml:space="preserve">aggression rate across different opponents.</w:t>
      </w:r>
    </w:p>
  </w:footnote>
  <w:footnote w:id="41">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4">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8">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9">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2">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4">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5">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6">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7">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5">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6">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image" Target="media/rId69.png"/><Relationship Id="rId45" Type="http://schemas.openxmlformats.org/officeDocument/2006/relationships/image" Target="media/rId45.png"/><Relationship Id="rId72" Type="http://schemas.openxmlformats.org/officeDocument/2006/relationships/image" Target="media/rId72.png"/><Relationship Id="rId53" Type="http://schemas.openxmlformats.org/officeDocument/2006/relationships/image" Target="media/rId53.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2026-06-16T11:32:15Z</dcterms:created>
  <dcterms:modified xsi:type="dcterms:W3CDTF">2026-06-16T11:32:15Z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