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Lab 3 — Architecture Selection &amp; Justification</w:t>
      </w:r>
    </w:p>
    <w:p>
      <w:pPr>
        <w:spacing w:after="60"/>
      </w:pPr>
      <w:r>
        <w:rPr>
          <w:i/>
          <w:iCs/>
          <w:sz w:val="22"/>
          <w:szCs w:val="22"/>
        </w:rPr>
        <w:t xml:space="preserve">Problem Statement #47: Domain &amp; SSL Certificate Expiry Alert System</w:t>
      </w:r>
    </w:p>
    <w:p>
      <w:pPr>
        <w:spacing w:after="200"/>
      </w:pPr>
      <w:r>
        <w:rPr>
          <w:sz w:val="20"/>
          <w:szCs w:val="20"/>
        </w:rPr>
        <w:t xml:space="preserve">Name: Rachit Upadhyay   |   SRN: PES1UG24CS355   |   Class: 5F</w:t>
      </w:r>
    </w:p>
    <w:p>
      <w:pPr>
        <w:spacing w:after="160"/>
      </w:pPr>
      <w:r>
        <w:rPr>
          <w:b/>
          <w:bCs/>
          <w:sz w:val="23"/>
          <w:szCs w:val="23"/>
        </w:rPr>
        <w:t xml:space="preserve">We chose Microservices Architecture for the Domain &amp; SSL Certificate Expiry Alert System.</w:t>
      </w:r>
    </w:p>
    <w:p>
      <w:pPr>
        <w:pStyle w:val="Heading2"/>
        <w:spacing w:after="60" w:before="200"/>
      </w:pPr>
      <w:r>
        <w:t xml:space="preserve">Two Reasons for This Choice</w:t>
      </w:r>
    </w:p>
    <w:p>
      <w:pPr>
        <w:spacing w:after="100"/>
      </w:pPr>
      <w:r>
        <w:rPr>
          <w:sz w:val="21"/>
          <w:szCs w:val="21"/>
        </w:rPr>
        <w:t xml:space="preserve">First, the workload profile is uneven across the system's functions. The Scan Engine runs on a fixed daily schedule and performs network-heavy operations (WHOIS lookups and TLS handshakes across potentially thousands of domains), while the Admin Dashboard UI is a lightweight, on-demand interface used sporadically by SysAdmins and Security Officers. A layered or client-server design would force these very different workloads to share the same deployment unit and scale together; microservices let the Scan Engine be scaled out independently — e.g., running on a larger worker pool during a full daily sweep — without touching the dashboard or alerting services at all.</w:t>
      </w:r>
    </w:p>
    <w:p>
      <w:pPr>
        <w:spacing w:after="100"/>
      </w:pPr>
      <w:r>
        <w:rPr>
          <w:sz w:val="21"/>
          <w:szCs w:val="21"/>
        </w:rPr>
        <w:t xml:space="preserve">Second, the system has a natural fault-isolation requirement: a failure in the Notification Gateway (say, an email provider outage) should never stop the Scan Engine from detecting an expiring certificate, and a bug in the Watchlist Manager shouldn't take down alert delivery for assets already flagged. Microservices keep these concerns in separate deployable services connected only through well-defined interfaces, so a crash or slowdown in one component degrades gracefully rather than cascading through the whole system — which matters a lot for a tool whose entire job is to catch failures before they become outages.</w:t>
      </w:r>
    </w:p>
    <w:p>
      <w:pPr>
        <w:pStyle w:val="Heading2"/>
        <w:spacing w:after="60" w:before="200"/>
      </w:pPr>
      <w:r>
        <w:t xml:space="preserve">Security Advantage</w:t>
      </w:r>
    </w:p>
    <w:p>
      <w:pPr>
        <w:spacing w:after="100"/>
      </w:pPr>
      <w:r>
        <w:rPr>
          <w:sz w:val="21"/>
          <w:szCs w:val="21"/>
        </w:rPr>
        <w:t xml:space="preserve">Splitting the system into independent services lets each one hold only the credentials it actually needs, following least-privilege access. The Scan Engine needs outbound network access and WHOIS/TLS credentials, but has no reason to hold notification-provider API keys; the Alert &amp; Escalation Manager needs those notification credentials but has no reason to touch the raw scan logic. If any single service is compromised, the blast radius is limited to that service's own secrets and data rather than exposing the entire system's credential set, which would be the case in a monolithic layered deployment sharing one process and one set of configuration.</w:t>
      </w:r>
    </w:p>
    <w:p>
      <w:pPr>
        <w:pStyle w:val="Heading2"/>
        <w:spacing w:after="60" w:before="200"/>
      </w:pPr>
      <w:r>
        <w:t xml:space="preserve">Performance Benefit</w:t>
      </w:r>
    </w:p>
    <w:p>
      <w:pPr>
        <w:spacing w:after="100"/>
      </w:pPr>
      <w:r>
        <w:rPr>
          <w:sz w:val="21"/>
          <w:szCs w:val="21"/>
        </w:rPr>
        <w:t xml:space="preserve">Because the Scan Engine is decoupled from the Admin Dashboard UI, a large or slow scan cycle (e.g., a spike in domains crossing an alert threshold on the same day) never blocks the SysAdmin or Security Officer from loading the dashboard or acknowledging alerts. Each service can be scaled and tuned for its own performance profile — the Scan Engine optimized for high-throughput network I/O, the dashboard optimized for low-latency reads — rather than the whole system being bottlenecked by whichever component is under the heaviest load at a given moment.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2026-09-14T04:25:07.331Z</dcterms:created>
  <dcterms:modified xsi:type="dcterms:W3CDTF">2026-09-14T04:25:07.340Z</dcterms:modified>
</cp:coreProperties>
</file>

<file path=docProps/custom.xml><?xml version="1.0" encoding="utf-8"?>
<Properties xmlns="http://schemas.openxmlformats.org/officeDocument/2006/custom-properties" xmlns:vt="http://schemas.openxmlformats.org/officeDocument/2006/docPropsVTypes"/>
</file>