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C21E" w14:textId="07D7A962" w:rsidR="004A6EDC" w:rsidRDefault="00000000" w:rsidP="00D46AB6">
      <w:pPr>
        <w:spacing w:after="160"/>
      </w:pPr>
      <w:r>
        <w:rPr>
          <w:rFonts w:ascii="Calibri" w:hAnsi="Calibri"/>
          <w:b/>
          <w:color w:val="0F172A"/>
          <w:sz w:val="48"/>
        </w:rPr>
        <w:t>Assignment 6: Technical Analysis using R</w:t>
      </w:r>
      <w:r>
        <w:rPr>
          <w:rFonts w:ascii="Calibri" w:hAnsi="Calibri"/>
          <w:b/>
          <w:color w:val="0F172A"/>
          <w:sz w:val="48"/>
        </w:rPr>
        <w:br/>
        <w:t xml:space="preserve">Visualization Phase </w:t>
      </w:r>
      <w:r>
        <w:br w:type="page"/>
      </w:r>
    </w:p>
    <w:p w14:paraId="4FCDF44E" w14:textId="77777777" w:rsidR="004A6EDC" w:rsidRDefault="00000000">
      <w:pPr>
        <w:keepNext/>
        <w:spacing w:before="320" w:after="120"/>
      </w:pPr>
      <w:r>
        <w:rPr>
          <w:rFonts w:ascii="Calibri" w:hAnsi="Calibri"/>
          <w:b/>
          <w:color w:val="1E3A8A"/>
          <w:sz w:val="32"/>
        </w:rPr>
        <w:lastRenderedPageBreak/>
        <w:t>Project Description &amp; Executive Summary</w:t>
      </w:r>
    </w:p>
    <w:p w14:paraId="2B223465" w14:textId="77777777" w:rsidR="004A6EDC" w:rsidRDefault="00000000">
      <w:pPr>
        <w:spacing w:before="40" w:after="120"/>
      </w:pPr>
      <w:r>
        <w:rPr>
          <w:rFonts w:ascii="Calibri" w:hAnsi="Calibri"/>
          <w:color w:val="334155"/>
          <w:sz w:val="21"/>
        </w:rPr>
        <w:t>This project report presents the comprehensive design, technical architecture, and interactive implementation for Assignment 6 (Visualization Phase) of the BDA400 Technical Analysis curriculum. Representing the final capstone stage of the 3-part quantitative analytics sequence, this project synthesizes market data ingestion, custom indicator algorithms, and modern reactive web development into an interactive R Shiny portfolio dashboard.</w:t>
      </w:r>
    </w:p>
    <w:p w14:paraId="5A40DB49" w14:textId="77777777" w:rsidR="004A6EDC" w:rsidRDefault="00000000">
      <w:pPr>
        <w:spacing w:before="40" w:after="120"/>
      </w:pPr>
      <w:r>
        <w:rPr>
          <w:rFonts w:ascii="Calibri" w:hAnsi="Calibri"/>
          <w:color w:val="334155"/>
          <w:sz w:val="21"/>
        </w:rPr>
        <w:t>Financial market participants rely on dynamic visual interfaces to identify patterns, evaluate risk-reward profiles, and track automated trading signals. Using R Shiny, ggplot2, and quantmod, the dashboard developed in this assignment enables quantitative analysts to inspect equities across customizable time horizons, alternate between multiple financial chart geometries (Candlestick, Line graph, Area chart), dynamically toggle technical indicator overlays (Moving Averages, RSI, MACD), and observe automated Moving Average Crossover trade signals annotated directly upon price bars.</w:t>
      </w:r>
    </w:p>
    <w:tbl>
      <w:tblPr>
        <w:tblW w:w="0" w:type="auto"/>
        <w:jc w:val="center"/>
        <w:tblLook w:val="04A0" w:firstRow="1" w:lastRow="0" w:firstColumn="1" w:lastColumn="0" w:noHBand="0" w:noVBand="1"/>
      </w:tblPr>
      <w:tblGrid>
        <w:gridCol w:w="9360"/>
      </w:tblGrid>
      <w:tr w:rsidR="004A6EDC" w14:paraId="4C4347F2" w14:textId="77777777">
        <w:trPr>
          <w:jc w:val="center"/>
        </w:trPr>
        <w:tc>
          <w:tcPr>
            <w:tcW w:w="9360" w:type="dxa"/>
            <w:tcBorders>
              <w:left w:val="single" w:sz="24" w:space="0" w:color="1E3A8A"/>
            </w:tcBorders>
            <w:shd w:val="clear" w:color="auto" w:fill="F0F4F8"/>
            <w:tcMar>
              <w:top w:w="140" w:type="dxa"/>
              <w:left w:w="200" w:type="dxa"/>
              <w:bottom w:w="140" w:type="dxa"/>
              <w:right w:w="180" w:type="dxa"/>
            </w:tcMar>
          </w:tcPr>
          <w:p w14:paraId="05295C23" w14:textId="77777777" w:rsidR="004A6EDC" w:rsidRDefault="00000000">
            <w:pPr>
              <w:spacing w:before="40" w:after="80"/>
            </w:pPr>
            <w:r>
              <w:rPr>
                <w:rFonts w:ascii="Calibri" w:hAnsi="Calibri"/>
                <w:b/>
                <w:color w:val="1E3A8A"/>
                <w:sz w:val="20"/>
              </w:rPr>
              <w:t xml:space="preserve">FIVE-TIER APPLICATION ARCHITECTURE: </w:t>
            </w:r>
          </w:p>
          <w:p w14:paraId="1EC04B50" w14:textId="77777777" w:rsidR="004A6EDC" w:rsidRDefault="00000000">
            <w:pPr>
              <w:spacing w:before="40" w:after="40"/>
            </w:pPr>
            <w:r>
              <w:rPr>
                <w:rFonts w:ascii="Calibri" w:hAnsi="Calibri"/>
                <w:color w:val="334155"/>
                <w:sz w:val="19"/>
              </w:rPr>
              <w:t>1. Layer 1: Data Ingestion &amp; Caching - Hybrid engine querying Yahoo Finance via quantmod with automated fallback to local historical CSV datasets.</w:t>
            </w:r>
          </w:p>
          <w:p w14:paraId="5215F010" w14:textId="77777777" w:rsidR="004A6EDC" w:rsidRDefault="00000000">
            <w:pPr>
              <w:spacing w:before="40" w:after="40"/>
            </w:pPr>
            <w:r>
              <w:rPr>
                <w:rFonts w:ascii="Calibri" w:hAnsi="Calibri"/>
                <w:color w:val="334155"/>
                <w:sz w:val="19"/>
              </w:rPr>
              <w:t>2. Layer 2: Reactive User Interface (UI) - Sidebar control panel with asset pickers, calendar date selectors, time-frame aggregators, chart type selectors, and indicator toggles.</w:t>
            </w:r>
          </w:p>
          <w:p w14:paraId="2EA771E7" w14:textId="77777777" w:rsidR="004A6EDC" w:rsidRDefault="00000000">
            <w:pPr>
              <w:spacing w:before="40" w:after="40"/>
            </w:pPr>
            <w:r>
              <w:rPr>
                <w:rFonts w:ascii="Calibri" w:hAnsi="Calibri"/>
                <w:color w:val="334155"/>
                <w:sz w:val="19"/>
              </w:rPr>
              <w:t>3. Layer 3: Quantitative Calculation Engine - Reactive server calculations computing 20-day/50-day SMAs, 14-day Wilder RSI, and 12/26/9 MACD lines.</w:t>
            </w:r>
          </w:p>
          <w:p w14:paraId="68C96775" w14:textId="77777777" w:rsidR="004A6EDC" w:rsidRDefault="00000000">
            <w:pPr>
              <w:spacing w:before="40" w:after="40"/>
            </w:pPr>
            <w:r>
              <w:rPr>
                <w:rFonts w:ascii="Calibri" w:hAnsi="Calibri"/>
                <w:color w:val="334155"/>
                <w:sz w:val="19"/>
              </w:rPr>
              <w:t>4. Layer 4: Multi-Tier Graphics Engine - High-performance ggplot2 rendering of candlestick wicks/bodies, area gradients, indicator subplots, and buy/sell badge annotations.</w:t>
            </w:r>
          </w:p>
          <w:p w14:paraId="1192EAB8" w14:textId="77777777" w:rsidR="004A6EDC" w:rsidRDefault="00000000">
            <w:pPr>
              <w:spacing w:before="40" w:after="40"/>
            </w:pPr>
            <w:r>
              <w:rPr>
                <w:rFonts w:ascii="Calibri" w:hAnsi="Calibri"/>
                <w:color w:val="334155"/>
                <w:sz w:val="19"/>
              </w:rPr>
              <w:t>5. Layer 5: Strategy Rules &amp; Signal Logging - Execution of golden cross/death cross logic, active position state display, and tabular historical trade logs.</w:t>
            </w:r>
          </w:p>
        </w:tc>
      </w:tr>
    </w:tbl>
    <w:p w14:paraId="4C2BE41B" w14:textId="77777777" w:rsidR="004A6EDC" w:rsidRDefault="004A6EDC">
      <w:pPr>
        <w:spacing w:after="80"/>
      </w:pPr>
    </w:p>
    <w:p w14:paraId="4ADACDCE" w14:textId="77777777" w:rsidR="004A6EDC" w:rsidRDefault="00000000">
      <w:pPr>
        <w:keepNext/>
        <w:spacing w:before="320" w:after="120"/>
      </w:pPr>
      <w:r>
        <w:rPr>
          <w:rFonts w:ascii="Calibri" w:hAnsi="Calibri"/>
          <w:b/>
          <w:color w:val="1E3A8A"/>
          <w:sz w:val="32"/>
        </w:rPr>
        <w:t>Step 1: Data Collection and Setup</w:t>
      </w:r>
    </w:p>
    <w:p w14:paraId="47162430" w14:textId="77777777" w:rsidR="004A6EDC" w:rsidRDefault="00000000">
      <w:pPr>
        <w:keepNext/>
        <w:spacing w:before="240" w:after="80"/>
      </w:pPr>
      <w:r>
        <w:rPr>
          <w:rFonts w:ascii="Calibri" w:hAnsi="Calibri"/>
          <w:b/>
          <w:color w:val="2563EB"/>
          <w:sz w:val="26"/>
        </w:rPr>
        <w:t>1.1 Data Source Selection &amp; Hybrid Retrieval Pipeline</w:t>
      </w:r>
    </w:p>
    <w:p w14:paraId="377722CD" w14:textId="77777777" w:rsidR="004A6EDC" w:rsidRDefault="00000000">
      <w:pPr>
        <w:spacing w:before="40" w:after="120"/>
      </w:pPr>
      <w:r>
        <w:rPr>
          <w:rFonts w:ascii="Calibri" w:hAnsi="Calibri"/>
          <w:color w:val="334155"/>
          <w:sz w:val="21"/>
        </w:rPr>
        <w:t>Financial data ingestion requires both reliable network API querying and offline resilience against API rate-limiting or network downtime. For primary market ingestion, the quantmod package is utilized to stream daily OHLCV (Open, High, Low, Close, Volume) records directly from Yahoo Finance.</w:t>
      </w:r>
    </w:p>
    <w:p w14:paraId="707ED262" w14:textId="77777777" w:rsidR="004A6EDC" w:rsidRDefault="00000000">
      <w:pPr>
        <w:spacing w:before="40" w:after="120"/>
      </w:pPr>
      <w:r>
        <w:rPr>
          <w:rFonts w:ascii="Calibri" w:hAnsi="Calibri"/>
          <w:color w:val="334155"/>
          <w:sz w:val="21"/>
        </w:rPr>
        <w:t>To ensure high availability in isolated academic or evaluation environments, the data retrieval function fetch_asset_data() implements a structured tryCatch() exception handler. When an external network request fails or times out, the function transparently falls back to local structured market datasets stored during Assignment 2 (e.g. AAPL_daily.csv, MSFT_daily.csv, GOOGL_daily.csv, AMZN_daily.csv, TSLA_daily.csv). This design prevents runtime crashes and ensures zero-downtime interactivity.</w:t>
      </w:r>
    </w:p>
    <w:p w14:paraId="4C59F77B" w14:textId="77777777" w:rsidR="004A6EDC" w:rsidRDefault="00000000">
      <w:pPr>
        <w:keepNext/>
        <w:spacing w:before="240" w:after="80"/>
      </w:pPr>
      <w:r>
        <w:rPr>
          <w:rFonts w:ascii="Calibri" w:hAnsi="Calibri"/>
          <w:b/>
          <w:color w:val="2563EB"/>
          <w:sz w:val="26"/>
        </w:rPr>
        <w:t>1.2 Package Dependencies &amp; Environment Initialization</w:t>
      </w:r>
    </w:p>
    <w:p w14:paraId="32780985" w14:textId="77777777" w:rsidR="004A6EDC" w:rsidRDefault="00000000">
      <w:pPr>
        <w:spacing w:before="40" w:after="120"/>
      </w:pPr>
      <w:r>
        <w:rPr>
          <w:rFonts w:ascii="Calibri" w:hAnsi="Calibri"/>
          <w:color w:val="334155"/>
          <w:sz w:val="21"/>
        </w:rPr>
        <w:t>The dashboard relies on six specialized CRAN packages loaded via automated check routines:</w:t>
      </w:r>
    </w:p>
    <w:p w14:paraId="4211F301" w14:textId="77777777" w:rsidR="004A6EDC" w:rsidRDefault="00000000">
      <w:pPr>
        <w:spacing w:before="40" w:after="120"/>
      </w:pPr>
      <w:r>
        <w:rPr>
          <w:rFonts w:ascii="Calibri" w:hAnsi="Calibri"/>
          <w:b/>
          <w:color w:val="0F172A"/>
          <w:sz w:val="21"/>
        </w:rPr>
        <w:lastRenderedPageBreak/>
        <w:t xml:space="preserve">1. Shiny: </w:t>
      </w:r>
      <w:r>
        <w:rPr>
          <w:rFonts w:ascii="Calibri" w:hAnsi="Calibri"/>
          <w:color w:val="334155"/>
          <w:sz w:val="21"/>
        </w:rPr>
        <w:t>• shiny: Reactive web framework supplying the HTML/JavaScript UI engine and client-server state sync.</w:t>
      </w:r>
    </w:p>
    <w:p w14:paraId="45A45656" w14:textId="77777777" w:rsidR="004A6EDC" w:rsidRDefault="00000000">
      <w:pPr>
        <w:spacing w:before="40" w:after="120"/>
      </w:pPr>
      <w:r>
        <w:rPr>
          <w:rFonts w:ascii="Calibri" w:hAnsi="Calibri"/>
          <w:b/>
          <w:color w:val="0F172A"/>
          <w:sz w:val="21"/>
        </w:rPr>
        <w:t xml:space="preserve">2. ggplot2: </w:t>
      </w:r>
      <w:r>
        <w:rPr>
          <w:rFonts w:ascii="Calibri" w:hAnsi="Calibri"/>
          <w:color w:val="334155"/>
          <w:sz w:val="21"/>
        </w:rPr>
        <w:t>• ggplot2: The Grammar of Graphics framework utilized for custom financial geometry layers and annotations.</w:t>
      </w:r>
    </w:p>
    <w:p w14:paraId="4C910D70" w14:textId="77777777" w:rsidR="004A6EDC" w:rsidRDefault="00000000">
      <w:pPr>
        <w:spacing w:before="40" w:after="120"/>
      </w:pPr>
      <w:r>
        <w:rPr>
          <w:rFonts w:ascii="Calibri" w:hAnsi="Calibri"/>
          <w:b/>
          <w:color w:val="0F172A"/>
          <w:sz w:val="21"/>
        </w:rPr>
        <w:t xml:space="preserve">3. quantmod: </w:t>
      </w:r>
      <w:r>
        <w:rPr>
          <w:rFonts w:ascii="Calibri" w:hAnsi="Calibri"/>
          <w:color w:val="334155"/>
          <w:sz w:val="21"/>
        </w:rPr>
        <w:t>• quantmod: Ingests market records and provides time series index parsing.</w:t>
      </w:r>
    </w:p>
    <w:p w14:paraId="73BD669D" w14:textId="77777777" w:rsidR="004A6EDC" w:rsidRDefault="00000000">
      <w:pPr>
        <w:spacing w:before="40" w:after="120"/>
      </w:pPr>
      <w:r>
        <w:rPr>
          <w:rFonts w:ascii="Calibri" w:hAnsi="Calibri"/>
          <w:b/>
          <w:color w:val="0F172A"/>
          <w:sz w:val="21"/>
        </w:rPr>
        <w:t xml:space="preserve">4. dplyr: </w:t>
      </w:r>
      <w:r>
        <w:rPr>
          <w:rFonts w:ascii="Calibri" w:hAnsi="Calibri"/>
          <w:color w:val="334155"/>
          <w:sz w:val="21"/>
        </w:rPr>
        <w:t>• dplyr: Handles reactive time-frame aggregation (Daily, Weekly, Monthly) and dataset grouping.</w:t>
      </w:r>
    </w:p>
    <w:p w14:paraId="44168893" w14:textId="77777777" w:rsidR="004A6EDC" w:rsidRDefault="00000000">
      <w:pPr>
        <w:spacing w:before="40" w:after="120"/>
      </w:pPr>
      <w:r>
        <w:rPr>
          <w:rFonts w:ascii="Calibri" w:hAnsi="Calibri"/>
          <w:b/>
          <w:color w:val="0F172A"/>
          <w:sz w:val="21"/>
        </w:rPr>
        <w:t xml:space="preserve">5. scales: </w:t>
      </w:r>
      <w:r>
        <w:rPr>
          <w:rFonts w:ascii="Calibri" w:hAnsi="Calibri"/>
          <w:color w:val="334155"/>
          <w:sz w:val="21"/>
        </w:rPr>
        <w:t>• scales: Formats currency axes ($) and date labels (%b %Y) across all visual canvases.</w:t>
      </w:r>
    </w:p>
    <w:p w14:paraId="2F824CD7" w14:textId="77777777" w:rsidR="004A6EDC" w:rsidRDefault="00000000">
      <w:pPr>
        <w:spacing w:before="40" w:after="120"/>
      </w:pPr>
      <w:r>
        <w:rPr>
          <w:rFonts w:ascii="Calibri" w:hAnsi="Calibri"/>
          <w:b/>
          <w:color w:val="0F172A"/>
          <w:sz w:val="21"/>
        </w:rPr>
        <w:t xml:space="preserve">6. gridExtra: </w:t>
      </w:r>
      <w:r>
        <w:rPr>
          <w:rFonts w:ascii="Calibri" w:hAnsi="Calibri"/>
          <w:color w:val="334155"/>
          <w:sz w:val="21"/>
        </w:rPr>
        <w:t>• gridExtra: Coordinates multi-panel visual alignments when secondary indicator panels are toggled.</w:t>
      </w:r>
    </w:p>
    <w:tbl>
      <w:tblPr>
        <w:tblW w:w="0" w:type="auto"/>
        <w:jc w:val="center"/>
        <w:tblLook w:val="04A0" w:firstRow="1" w:lastRow="0" w:firstColumn="1" w:lastColumn="0" w:noHBand="0" w:noVBand="1"/>
      </w:tblPr>
      <w:tblGrid>
        <w:gridCol w:w="9360"/>
      </w:tblGrid>
      <w:tr w:rsidR="004A6EDC" w14:paraId="5BA8AF4E" w14:textId="77777777">
        <w:trPr>
          <w:jc w:val="center"/>
        </w:trPr>
        <w:tc>
          <w:tcPr>
            <w:tcW w:w="9360" w:type="dxa"/>
            <w:shd w:val="clear" w:color="auto" w:fill="1E2227"/>
            <w:tcMar>
              <w:top w:w="100" w:type="dxa"/>
              <w:left w:w="140" w:type="dxa"/>
              <w:bottom w:w="100" w:type="dxa"/>
              <w:right w:w="140" w:type="dxa"/>
            </w:tcMar>
          </w:tcPr>
          <w:p w14:paraId="34CA9AFD" w14:textId="77777777" w:rsidR="004A6EDC" w:rsidRDefault="00000000">
            <w:pPr>
              <w:spacing w:before="40" w:after="40"/>
            </w:pPr>
            <w:r>
              <w:rPr>
                <w:rFonts w:ascii="Consolas" w:hAnsi="Consolas"/>
                <w:color w:val="E5C07B"/>
                <w:sz w:val="18"/>
              </w:rPr>
              <w:t># Automated Package Loading Routine</w:t>
            </w:r>
            <w:r>
              <w:rPr>
                <w:rFonts w:ascii="Consolas" w:hAnsi="Consolas"/>
                <w:color w:val="E5C07B"/>
                <w:sz w:val="18"/>
              </w:rPr>
              <w:br/>
              <w:t>required_packages &lt;- c("shiny", "ggplot2", "quantmod", "dplyr", "scales", "gridExtra")</w:t>
            </w:r>
            <w:r>
              <w:rPr>
                <w:rFonts w:ascii="Consolas" w:hAnsi="Consolas"/>
                <w:color w:val="E5C07B"/>
                <w:sz w:val="18"/>
              </w:rPr>
              <w:br/>
              <w:t>new_packages &lt;- required_packages[!(required_packages %in% installed.packages()[, "Package"])]</w:t>
            </w:r>
            <w:r>
              <w:rPr>
                <w:rFonts w:ascii="Consolas" w:hAnsi="Consolas"/>
                <w:color w:val="E5C07B"/>
                <w:sz w:val="18"/>
              </w:rPr>
              <w:br/>
              <w:t>if (length(new_packages) &gt; 0) install.packages(new_packages, repos = "https://cloud.r-project.org")</w:t>
            </w:r>
            <w:r>
              <w:rPr>
                <w:rFonts w:ascii="Consolas" w:hAnsi="Consolas"/>
                <w:color w:val="E5C07B"/>
                <w:sz w:val="18"/>
              </w:rPr>
              <w:br/>
              <w:t>suppressPackageStartupMessages({</w:t>
            </w:r>
            <w:r>
              <w:rPr>
                <w:rFonts w:ascii="Consolas" w:hAnsi="Consolas"/>
                <w:color w:val="E5C07B"/>
                <w:sz w:val="18"/>
              </w:rPr>
              <w:br/>
              <w:t xml:space="preserve">  library(shiny); library(ggplot2); library(quantmod)</w:t>
            </w:r>
            <w:r>
              <w:rPr>
                <w:rFonts w:ascii="Consolas" w:hAnsi="Consolas"/>
                <w:color w:val="E5C07B"/>
                <w:sz w:val="18"/>
              </w:rPr>
              <w:br/>
              <w:t xml:space="preserve">  library(dplyr); library(scales);  library(gridExtra)</w:t>
            </w:r>
            <w:r>
              <w:rPr>
                <w:rFonts w:ascii="Consolas" w:hAnsi="Consolas"/>
                <w:color w:val="E5C07B"/>
                <w:sz w:val="18"/>
              </w:rPr>
              <w:br/>
              <w:t>})</w:t>
            </w:r>
          </w:p>
        </w:tc>
      </w:tr>
    </w:tbl>
    <w:p w14:paraId="715A238B" w14:textId="77777777" w:rsidR="004A6EDC" w:rsidRDefault="004A6EDC">
      <w:pPr>
        <w:spacing w:after="80"/>
      </w:pPr>
    </w:p>
    <w:p w14:paraId="2A126E07" w14:textId="77777777" w:rsidR="004A6EDC" w:rsidRDefault="00000000">
      <w:pPr>
        <w:keepNext/>
        <w:spacing w:before="320" w:after="120"/>
      </w:pPr>
      <w:r>
        <w:rPr>
          <w:rFonts w:ascii="Calibri" w:hAnsi="Calibri"/>
          <w:b/>
          <w:color w:val="1E3A8A"/>
          <w:sz w:val="32"/>
        </w:rPr>
        <w:t>Step 2: Visualizing Stock Data</w:t>
      </w:r>
    </w:p>
    <w:p w14:paraId="2013D6FD" w14:textId="77777777" w:rsidR="004A6EDC" w:rsidRDefault="00000000">
      <w:pPr>
        <w:keepNext/>
        <w:spacing w:before="240" w:after="80"/>
      </w:pPr>
      <w:r>
        <w:rPr>
          <w:rFonts w:ascii="Calibri" w:hAnsi="Calibri"/>
          <w:b/>
          <w:color w:val="2563EB"/>
          <w:sz w:val="26"/>
        </w:rPr>
        <w:t>2.1 Shiny App Skeleton &amp; Layout Architecture</w:t>
      </w:r>
    </w:p>
    <w:p w14:paraId="342B7696" w14:textId="77777777" w:rsidR="004A6EDC" w:rsidRDefault="00000000">
      <w:pPr>
        <w:spacing w:before="40" w:after="120"/>
      </w:pPr>
      <w:r>
        <w:rPr>
          <w:rFonts w:ascii="Calibri" w:hAnsi="Calibri"/>
          <w:color w:val="334155"/>
          <w:sz w:val="21"/>
        </w:rPr>
        <w:t>The application layout is structured using Shiny's fluidPage() grid system combined with a responsive sidebarLayout(). The user interface is separated into a 3-column control sidebar on the left and a 9-column dynamic visual workspace on the right. Custom CSS styling is embedded via tags$head() to establish clean typography, distinct metric cards, status badges, and subtle drop shadows.</w:t>
      </w:r>
    </w:p>
    <w:p w14:paraId="027127B2" w14:textId="77777777" w:rsidR="004A6EDC" w:rsidRDefault="00000000">
      <w:pPr>
        <w:keepNext/>
        <w:spacing w:before="240" w:after="80"/>
      </w:pPr>
      <w:r>
        <w:rPr>
          <w:rFonts w:ascii="Calibri" w:hAnsi="Calibri"/>
          <w:b/>
          <w:color w:val="2563EB"/>
          <w:sz w:val="26"/>
        </w:rPr>
        <w:t>2.2 Interactive Controls &amp; Widgets</w:t>
      </w:r>
    </w:p>
    <w:p w14:paraId="4A0C8AEA" w14:textId="77777777" w:rsidR="004A6EDC" w:rsidRDefault="00000000">
      <w:pPr>
        <w:spacing w:before="40" w:after="120"/>
      </w:pPr>
      <w:r>
        <w:rPr>
          <w:rFonts w:ascii="Calibri" w:hAnsi="Calibri"/>
          <w:color w:val="334155"/>
          <w:sz w:val="21"/>
        </w:rPr>
        <w:t>The control sidebar equips the analyst with four primary exploration parameters:</w:t>
      </w:r>
    </w:p>
    <w:p w14:paraId="5E3A1624" w14:textId="77777777" w:rsidR="004A6EDC" w:rsidRDefault="00000000">
      <w:pPr>
        <w:spacing w:before="40" w:after="120"/>
      </w:pPr>
      <w:r>
        <w:rPr>
          <w:rFonts w:ascii="Calibri" w:hAnsi="Calibri"/>
          <w:b/>
          <w:color w:val="0F172A"/>
          <w:sz w:val="21"/>
        </w:rPr>
        <w:t xml:space="preserve">1. Asset / Ticker: </w:t>
      </w:r>
      <w:r>
        <w:rPr>
          <w:rFonts w:ascii="Calibri" w:hAnsi="Calibri"/>
          <w:color w:val="334155"/>
          <w:sz w:val="21"/>
        </w:rPr>
        <w:t>• Asset Selector: Selects among five liquid portfolio tickers (AAPL, MSFT, GOOGL, AMZN, TSLA).</w:t>
      </w:r>
    </w:p>
    <w:p w14:paraId="75703978" w14:textId="77777777" w:rsidR="004A6EDC" w:rsidRDefault="00000000">
      <w:pPr>
        <w:spacing w:before="40" w:after="120"/>
      </w:pPr>
      <w:r>
        <w:rPr>
          <w:rFonts w:ascii="Calibri" w:hAnsi="Calibri"/>
          <w:b/>
          <w:color w:val="0F172A"/>
          <w:sz w:val="21"/>
        </w:rPr>
        <w:t xml:space="preserve">2. Date Range: </w:t>
      </w:r>
      <w:r>
        <w:rPr>
          <w:rFonts w:ascii="Calibri" w:hAnsi="Calibri"/>
          <w:color w:val="334155"/>
          <w:sz w:val="21"/>
        </w:rPr>
        <w:t>• Date Range Picker: Sets custom historical windows (defaults to 2023-01-01 to 2023-12-31).</w:t>
      </w:r>
    </w:p>
    <w:p w14:paraId="6D599AFD" w14:textId="77777777" w:rsidR="004A6EDC" w:rsidRDefault="00000000">
      <w:pPr>
        <w:spacing w:before="40" w:after="120"/>
      </w:pPr>
      <w:r>
        <w:rPr>
          <w:rFonts w:ascii="Calibri" w:hAnsi="Calibri"/>
          <w:b/>
          <w:color w:val="0F172A"/>
          <w:sz w:val="21"/>
        </w:rPr>
        <w:t xml:space="preserve">3. Time Frame: </w:t>
      </w:r>
      <w:r>
        <w:rPr>
          <w:rFonts w:ascii="Calibri" w:hAnsi="Calibri"/>
          <w:color w:val="334155"/>
          <w:sz w:val="21"/>
        </w:rPr>
        <w:t>• Time Frame Selector: Allows dynamic aggregation to Daily, Weekly, or Monthly periods.</w:t>
      </w:r>
    </w:p>
    <w:p w14:paraId="219BD96B" w14:textId="77777777" w:rsidR="004A6EDC" w:rsidRDefault="00000000">
      <w:pPr>
        <w:spacing w:before="40" w:after="120"/>
      </w:pPr>
      <w:r>
        <w:rPr>
          <w:rFonts w:ascii="Calibri" w:hAnsi="Calibri"/>
          <w:b/>
          <w:color w:val="0F172A"/>
          <w:sz w:val="21"/>
        </w:rPr>
        <w:t xml:space="preserve">4. Chart Type: </w:t>
      </w:r>
      <w:r>
        <w:rPr>
          <w:rFonts w:ascii="Calibri" w:hAnsi="Calibri"/>
          <w:color w:val="334155"/>
          <w:sz w:val="21"/>
        </w:rPr>
        <w:t>• Chart Type Selector: Switches price geometries between Candlestick, Line graph, and Area chart.</w:t>
      </w:r>
    </w:p>
    <w:tbl>
      <w:tblPr>
        <w:tblW w:w="0" w:type="auto"/>
        <w:jc w:val="center"/>
        <w:tblLook w:val="04A0" w:firstRow="1" w:lastRow="0" w:firstColumn="1" w:lastColumn="0" w:noHBand="0" w:noVBand="1"/>
      </w:tblPr>
      <w:tblGrid>
        <w:gridCol w:w="9360"/>
      </w:tblGrid>
      <w:tr w:rsidR="004A6EDC" w14:paraId="1374C474" w14:textId="77777777">
        <w:trPr>
          <w:jc w:val="center"/>
        </w:trPr>
        <w:tc>
          <w:tcPr>
            <w:tcW w:w="9360" w:type="dxa"/>
            <w:shd w:val="clear" w:color="auto" w:fill="1E2227"/>
            <w:tcMar>
              <w:top w:w="100" w:type="dxa"/>
              <w:left w:w="140" w:type="dxa"/>
              <w:bottom w:w="100" w:type="dxa"/>
              <w:right w:w="140" w:type="dxa"/>
            </w:tcMar>
          </w:tcPr>
          <w:p w14:paraId="72F09AEF" w14:textId="77777777" w:rsidR="004A6EDC" w:rsidRDefault="00000000">
            <w:pPr>
              <w:spacing w:before="40" w:after="40"/>
            </w:pPr>
            <w:r>
              <w:rPr>
                <w:rFonts w:ascii="Consolas" w:hAnsi="Consolas"/>
                <w:color w:val="E5C07B"/>
                <w:sz w:val="18"/>
              </w:rPr>
              <w:t># UI Widget Configuration</w:t>
            </w:r>
            <w:r>
              <w:rPr>
                <w:rFonts w:ascii="Consolas" w:hAnsi="Consolas"/>
                <w:color w:val="E5C07B"/>
                <w:sz w:val="18"/>
              </w:rPr>
              <w:br/>
            </w:r>
            <w:r>
              <w:rPr>
                <w:rFonts w:ascii="Consolas" w:hAnsi="Consolas"/>
                <w:color w:val="E5C07B"/>
                <w:sz w:val="18"/>
              </w:rPr>
              <w:lastRenderedPageBreak/>
              <w:t>ui &lt;- fluidPage(</w:t>
            </w:r>
            <w:r>
              <w:rPr>
                <w:rFonts w:ascii="Consolas" w:hAnsi="Consolas"/>
                <w:color w:val="E5C07B"/>
                <w:sz w:val="18"/>
              </w:rPr>
              <w:br/>
              <w:t xml:space="preserve">  sidebarLayout(</w:t>
            </w:r>
            <w:r>
              <w:rPr>
                <w:rFonts w:ascii="Consolas" w:hAnsi="Consolas"/>
                <w:color w:val="E5C07B"/>
                <w:sz w:val="18"/>
              </w:rPr>
              <w:br/>
              <w:t xml:space="preserve">    sidebarPanel(</w:t>
            </w:r>
            <w:r>
              <w:rPr>
                <w:rFonts w:ascii="Consolas" w:hAnsi="Consolas"/>
                <w:color w:val="E5C07B"/>
                <w:sz w:val="18"/>
              </w:rPr>
              <w:br/>
              <w:t xml:space="preserve">      width = 3,</w:t>
            </w:r>
            <w:r>
              <w:rPr>
                <w:rFonts w:ascii="Consolas" w:hAnsi="Consolas"/>
                <w:color w:val="E5C07B"/>
                <w:sz w:val="18"/>
              </w:rPr>
              <w:br/>
              <w:t xml:space="preserve">      selectInput("stock_symbol", "Select Asset / Ticker:",</w:t>
            </w:r>
            <w:r>
              <w:rPr>
                <w:rFonts w:ascii="Consolas" w:hAnsi="Consolas"/>
                <w:color w:val="E5C07B"/>
                <w:sz w:val="18"/>
              </w:rPr>
              <w:br/>
              <w:t xml:space="preserve">                  choices = c("AAPL - Apple Inc." = "AAPL", "MSFT - Microsoft Corp." = "MSFT",</w:t>
            </w:r>
            <w:r>
              <w:rPr>
                <w:rFonts w:ascii="Consolas" w:hAnsi="Consolas"/>
                <w:color w:val="E5C07B"/>
                <w:sz w:val="18"/>
              </w:rPr>
              <w:br/>
              <w:t xml:space="preserve">                              "GOOGL - Alphabet Inc." = "GOOGL", "AMZN - Amazon.com Inc." = "AMZN",</w:t>
            </w:r>
            <w:r>
              <w:rPr>
                <w:rFonts w:ascii="Consolas" w:hAnsi="Consolas"/>
                <w:color w:val="E5C07B"/>
                <w:sz w:val="18"/>
              </w:rPr>
              <w:br/>
              <w:t xml:space="preserve">                              "TSLA - Tesla Inc." = "TSLA")),</w:t>
            </w:r>
            <w:r>
              <w:rPr>
                <w:rFonts w:ascii="Consolas" w:hAnsi="Consolas"/>
                <w:color w:val="E5C07B"/>
                <w:sz w:val="18"/>
              </w:rPr>
              <w:br/>
              <w:t xml:space="preserve">      dateRangeInput("date_range", "Select Date Range:",</w:t>
            </w:r>
            <w:r>
              <w:rPr>
                <w:rFonts w:ascii="Consolas" w:hAnsi="Consolas"/>
                <w:color w:val="E5C07B"/>
                <w:sz w:val="18"/>
              </w:rPr>
              <w:br/>
              <w:t xml:space="preserve">                     start = "2023-01-01", end = "2023-12-31"),</w:t>
            </w:r>
            <w:r>
              <w:rPr>
                <w:rFonts w:ascii="Consolas" w:hAnsi="Consolas"/>
                <w:color w:val="E5C07B"/>
                <w:sz w:val="18"/>
              </w:rPr>
              <w:br/>
              <w:t xml:space="preserve">      selectInput("time_frame", "Select Time Frame:", choices = c("Daily", "Weekly", "Monthly")),</w:t>
            </w:r>
            <w:r>
              <w:rPr>
                <w:rFonts w:ascii="Consolas" w:hAnsi="Consolas"/>
                <w:color w:val="E5C07B"/>
                <w:sz w:val="18"/>
              </w:rPr>
              <w:br/>
              <w:t xml:space="preserve">      selectInput("chart_type", "Select Chart Type:", choices = c("Candlestick", "Line graph", "Area chart")),</w:t>
            </w:r>
            <w:r>
              <w:rPr>
                <w:rFonts w:ascii="Consolas" w:hAnsi="Consolas"/>
                <w:color w:val="E5C07B"/>
                <w:sz w:val="18"/>
              </w:rPr>
              <w:br/>
              <w:t xml:space="preserve">      hr(),</w:t>
            </w:r>
            <w:r>
              <w:rPr>
                <w:rFonts w:ascii="Consolas" w:hAnsi="Consolas"/>
                <w:color w:val="E5C07B"/>
                <w:sz w:val="18"/>
              </w:rPr>
              <w:br/>
              <w:t xml:space="preserve">      checkboxGroupInput("technical_indicators", "Overlay Indicators:",</w:t>
            </w:r>
            <w:r>
              <w:rPr>
                <w:rFonts w:ascii="Consolas" w:hAnsi="Consolas"/>
                <w:color w:val="E5C07B"/>
                <w:sz w:val="18"/>
              </w:rPr>
              <w:br/>
              <w:t xml:space="preserve">                         choices = c("Moving Averages", "RSI", "MACD"), selected = "Moving Averages"),</w:t>
            </w:r>
            <w:r>
              <w:rPr>
                <w:rFonts w:ascii="Consolas" w:hAnsi="Consolas"/>
                <w:color w:val="E5C07B"/>
                <w:sz w:val="18"/>
              </w:rPr>
              <w:br/>
              <w:t xml:space="preserve">      checkboxInput("show_signals", "Display MA Crossover Signals", value = TRUE)</w:t>
            </w:r>
            <w:r>
              <w:rPr>
                <w:rFonts w:ascii="Consolas" w:hAnsi="Consolas"/>
                <w:color w:val="E5C07B"/>
                <w:sz w:val="18"/>
              </w:rPr>
              <w:br/>
              <w:t xml:space="preserve">    ),</w:t>
            </w:r>
            <w:r>
              <w:rPr>
                <w:rFonts w:ascii="Consolas" w:hAnsi="Consolas"/>
                <w:color w:val="E5C07B"/>
                <w:sz w:val="18"/>
              </w:rPr>
              <w:br/>
              <w:t xml:space="preserve">    mainPanel(width = 9, ...)</w:t>
            </w:r>
            <w:r>
              <w:rPr>
                <w:rFonts w:ascii="Consolas" w:hAnsi="Consolas"/>
                <w:color w:val="E5C07B"/>
                <w:sz w:val="18"/>
              </w:rPr>
              <w:br/>
              <w:t xml:space="preserve">  )</w:t>
            </w:r>
            <w:r>
              <w:rPr>
                <w:rFonts w:ascii="Consolas" w:hAnsi="Consolas"/>
                <w:color w:val="E5C07B"/>
                <w:sz w:val="18"/>
              </w:rPr>
              <w:br/>
              <w:t>)</w:t>
            </w:r>
          </w:p>
        </w:tc>
      </w:tr>
    </w:tbl>
    <w:p w14:paraId="01A152E9" w14:textId="77777777" w:rsidR="004A6EDC" w:rsidRDefault="004A6EDC">
      <w:pPr>
        <w:spacing w:after="80"/>
      </w:pPr>
    </w:p>
    <w:p w14:paraId="24F67409" w14:textId="77777777" w:rsidR="004A6EDC" w:rsidRDefault="00000000">
      <w:pPr>
        <w:keepNext/>
        <w:spacing w:before="240" w:after="80"/>
      </w:pPr>
      <w:r>
        <w:rPr>
          <w:rFonts w:ascii="Calibri" w:hAnsi="Calibri"/>
          <w:b/>
          <w:color w:val="2563EB"/>
          <w:sz w:val="26"/>
        </w:rPr>
        <w:t>2.3 Chart Rendering Engine &amp; Geometries</w:t>
      </w:r>
    </w:p>
    <w:p w14:paraId="1DCE4A60" w14:textId="77777777" w:rsidR="004A6EDC" w:rsidRDefault="00000000">
      <w:pPr>
        <w:spacing w:before="40" w:after="120"/>
      </w:pPr>
      <w:r>
        <w:rPr>
          <w:rFonts w:ascii="Calibri" w:hAnsi="Calibri"/>
          <w:color w:val="334155"/>
          <w:sz w:val="21"/>
        </w:rPr>
        <w:t>In the server component, renderPlot() evaluates the chosen geometry dynamically: Candlestick charts render the high-low price range using geom_segment() for the wick, while open and close prices are drawn using geom_rect() colored in green (#16a34a) for advancing days and red (#dc2626) for declining days. Line charts use geom_line() with a 1.0pt stroke, and Area charts utilize geom_area() with an alpha gradient.</w:t>
      </w:r>
    </w:p>
    <w:p w14:paraId="33EA6F0A" w14:textId="77777777" w:rsidR="004A6EDC" w:rsidRDefault="00000000">
      <w:pPr>
        <w:keepNext/>
        <w:spacing w:before="320" w:after="120"/>
      </w:pPr>
      <w:r>
        <w:rPr>
          <w:rFonts w:ascii="Calibri" w:hAnsi="Calibri"/>
          <w:b/>
          <w:color w:val="1E3A8A"/>
          <w:sz w:val="32"/>
        </w:rPr>
        <w:t>Step 3: Overlay Technical Indicators</w:t>
      </w:r>
    </w:p>
    <w:p w14:paraId="43B298EA" w14:textId="77777777" w:rsidR="004A6EDC" w:rsidRDefault="00000000">
      <w:pPr>
        <w:keepNext/>
        <w:spacing w:before="240" w:after="80"/>
      </w:pPr>
      <w:r>
        <w:rPr>
          <w:rFonts w:ascii="Calibri" w:hAnsi="Calibri"/>
          <w:b/>
          <w:color w:val="2563EB"/>
          <w:sz w:val="26"/>
        </w:rPr>
        <w:t>3.1 Dynamic Layering Architecture</w:t>
      </w:r>
    </w:p>
    <w:p w14:paraId="35A13162" w14:textId="77777777" w:rsidR="004A6EDC" w:rsidRDefault="00000000">
      <w:pPr>
        <w:spacing w:before="40" w:after="120"/>
      </w:pPr>
      <w:r>
        <w:rPr>
          <w:rFonts w:ascii="Calibri" w:hAnsi="Calibri"/>
          <w:color w:val="334155"/>
          <w:sz w:val="21"/>
        </w:rPr>
        <w:t>Technical indicators provide context on trend direction, momentum velocity, and mean reversion. Rather than hard-coding static plots, the dashboard utilizes ggplot2's additive layering paradigm (p &lt;- p + ...), dynamically attaching indicator traces only when active in input$technical_indicators.</w:t>
      </w:r>
    </w:p>
    <w:p w14:paraId="03F0576B" w14:textId="77777777" w:rsidR="004A6EDC" w:rsidRDefault="00000000">
      <w:pPr>
        <w:spacing w:before="40" w:after="120"/>
      </w:pPr>
      <w:r>
        <w:rPr>
          <w:rFonts w:ascii="Calibri" w:hAnsi="Calibri"/>
          <w:color w:val="334155"/>
          <w:sz w:val="21"/>
        </w:rPr>
        <w:t>Moving Averages: The 20-day Simple Moving Average (SMA20) is rendered as a solid sky-blue curve (#0284c7), capturing short-term trend direction. The 50-day Simple Moving Average (SMA50) is rendered as an orange dashed curve (#f97316), representing intermediate-term institutional support/resistance.</w:t>
      </w:r>
    </w:p>
    <w:p w14:paraId="36565D0B" w14:textId="77777777" w:rsidR="004A6EDC" w:rsidRDefault="00000000">
      <w:pPr>
        <w:keepNext/>
        <w:spacing w:before="240" w:after="80"/>
      </w:pPr>
      <w:r>
        <w:rPr>
          <w:rFonts w:ascii="Calibri" w:hAnsi="Calibri"/>
          <w:b/>
          <w:color w:val="2563EB"/>
          <w:sz w:val="26"/>
        </w:rPr>
        <w:lastRenderedPageBreak/>
        <w:t>3.2 Secondary Indicator Panels (RSI &amp; MACD)</w:t>
      </w:r>
    </w:p>
    <w:p w14:paraId="2A3C392D" w14:textId="77777777" w:rsidR="004A6EDC" w:rsidRDefault="00000000">
      <w:pPr>
        <w:spacing w:before="40" w:after="120"/>
      </w:pPr>
      <w:r>
        <w:rPr>
          <w:rFonts w:ascii="Calibri" w:hAnsi="Calibri"/>
          <w:color w:val="334155"/>
          <w:sz w:val="21"/>
        </w:rPr>
        <w:t>Because RSI is bounded between 0 and 100 and MACD fluctuates around a zero baseline, plotting them directly on the primary price axis would cause severe scale distortion. To maintain visual clarity, the dashboard implements dynamic subplots via renderUI():</w:t>
      </w:r>
    </w:p>
    <w:p w14:paraId="636A4671" w14:textId="77777777" w:rsidR="004A6EDC" w:rsidRDefault="00000000">
      <w:pPr>
        <w:spacing w:before="40" w:after="120"/>
      </w:pPr>
      <w:r>
        <w:rPr>
          <w:rFonts w:ascii="Calibri" w:hAnsi="Calibri"/>
          <w:b/>
          <w:color w:val="0F172A"/>
          <w:sz w:val="21"/>
        </w:rPr>
        <w:t xml:space="preserve">1. RSI Oscillator: </w:t>
      </w:r>
      <w:r>
        <w:rPr>
          <w:rFonts w:ascii="Calibri" w:hAnsi="Calibri"/>
          <w:color w:val="334155"/>
          <w:sz w:val="21"/>
        </w:rPr>
        <w:t>• RSI Panel: Displays the 14-day Wilder RSI curve in purple (#8b5cf6), accompanied by horizontal dashed reference lines at 70 (Overbought threshold) and 30 (Oversold threshold).</w:t>
      </w:r>
    </w:p>
    <w:p w14:paraId="7F1D47BF" w14:textId="77777777" w:rsidR="004A6EDC" w:rsidRDefault="00000000">
      <w:pPr>
        <w:spacing w:before="40" w:after="120"/>
      </w:pPr>
      <w:r>
        <w:rPr>
          <w:rFonts w:ascii="Calibri" w:hAnsi="Calibri"/>
          <w:b/>
          <w:color w:val="0F172A"/>
          <w:sz w:val="21"/>
        </w:rPr>
        <w:t xml:space="preserve">2. MACD Histogram: </w:t>
      </w:r>
      <w:r>
        <w:rPr>
          <w:rFonts w:ascii="Calibri" w:hAnsi="Calibri"/>
          <w:color w:val="334155"/>
          <w:sz w:val="21"/>
        </w:rPr>
        <w:t>• MACD Panel: Plots the fast/slow EMA divergence histogram using green bars for expanding positive momentum and red bars for negative momentum, overlaid with the MACD line and signal line.</w:t>
      </w:r>
    </w:p>
    <w:p w14:paraId="57DC544F" w14:textId="77777777" w:rsidR="004A6EDC" w:rsidRDefault="00000000">
      <w:pPr>
        <w:keepNext/>
        <w:spacing w:before="320" w:after="120"/>
      </w:pPr>
      <w:r>
        <w:rPr>
          <w:rFonts w:ascii="Calibri" w:hAnsi="Calibri"/>
          <w:b/>
          <w:color w:val="1E3A8A"/>
          <w:sz w:val="32"/>
        </w:rPr>
        <w:t>Step 4: Implement Trading Rules and Annotations</w:t>
      </w:r>
    </w:p>
    <w:p w14:paraId="3A9B3E81" w14:textId="77777777" w:rsidR="004A6EDC" w:rsidRDefault="00000000">
      <w:pPr>
        <w:keepNext/>
        <w:spacing w:before="240" w:after="80"/>
      </w:pPr>
      <w:r>
        <w:rPr>
          <w:rFonts w:ascii="Calibri" w:hAnsi="Calibri"/>
          <w:b/>
          <w:color w:val="2563EB"/>
          <w:sz w:val="26"/>
        </w:rPr>
        <w:t>4.1 Moving Average Crossover Strategy Rules</w:t>
      </w:r>
    </w:p>
    <w:p w14:paraId="70B9B29A" w14:textId="77777777" w:rsidR="004A6EDC" w:rsidRDefault="00000000">
      <w:pPr>
        <w:spacing w:before="40" w:after="120"/>
      </w:pPr>
      <w:r>
        <w:rPr>
          <w:rFonts w:ascii="Calibri" w:hAnsi="Calibri"/>
          <w:color w:val="334155"/>
          <w:sz w:val="21"/>
        </w:rPr>
        <w:t>As mandated in Step 4 of the assignment specification, systematic trading rules are implemented using dual moving averages:</w:t>
      </w:r>
    </w:p>
    <w:p w14:paraId="1F05B2B0" w14:textId="77777777" w:rsidR="004A6EDC" w:rsidRDefault="00000000">
      <w:pPr>
        <w:spacing w:before="40" w:after="120"/>
      </w:pPr>
      <w:r>
        <w:rPr>
          <w:rFonts w:ascii="Calibri" w:hAnsi="Calibri"/>
          <w:b/>
          <w:color w:val="0F172A"/>
          <w:sz w:val="21"/>
        </w:rPr>
        <w:t xml:space="preserve">• Buy Rule: </w:t>
      </w:r>
      <w:r>
        <w:rPr>
          <w:rFonts w:ascii="Calibri" w:hAnsi="Calibri"/>
          <w:color w:val="334155"/>
          <w:sz w:val="21"/>
        </w:rPr>
        <w:t>Rule 1 (Buy Signal / Golden Cross): When the short-term 20-day SMA crosses above the long-term 50-day SMA, indicating upward trend acceleration.</w:t>
      </w:r>
    </w:p>
    <w:p w14:paraId="38A4BD6A" w14:textId="77777777" w:rsidR="004A6EDC" w:rsidRDefault="00000000">
      <w:pPr>
        <w:spacing w:before="40" w:after="120"/>
      </w:pPr>
      <w:r>
        <w:rPr>
          <w:rFonts w:ascii="Calibri" w:hAnsi="Calibri"/>
          <w:b/>
          <w:color w:val="0F172A"/>
          <w:sz w:val="21"/>
        </w:rPr>
        <w:t xml:space="preserve">• Sell Rule: </w:t>
      </w:r>
      <w:r>
        <w:rPr>
          <w:rFonts w:ascii="Calibri" w:hAnsi="Calibri"/>
          <w:color w:val="334155"/>
          <w:sz w:val="21"/>
        </w:rPr>
        <w:t>Rule 2 (Sell Signal / Death Cross): When the short-term 20-day SMA crosses below the long-term 50-day SMA, indicating downward momentum breakdown.</w:t>
      </w:r>
    </w:p>
    <w:p w14:paraId="23035D2F" w14:textId="77777777" w:rsidR="004A6EDC" w:rsidRDefault="00000000">
      <w:pPr>
        <w:spacing w:before="40" w:after="120"/>
      </w:pPr>
      <w:r>
        <w:rPr>
          <w:rFonts w:ascii="Calibri" w:hAnsi="Calibri"/>
          <w:b/>
          <w:color w:val="0F172A"/>
          <w:sz w:val="21"/>
        </w:rPr>
        <w:t xml:space="preserve">• Hold Rule: </w:t>
      </w:r>
      <w:r>
        <w:rPr>
          <w:rFonts w:ascii="Calibri" w:hAnsi="Calibri"/>
          <w:color w:val="334155"/>
          <w:sz w:val="21"/>
        </w:rPr>
        <w:t>Rule 3 (Hold Signal): When moving averages maintain their prevailing relative relationship without state changes.</w:t>
      </w:r>
    </w:p>
    <w:tbl>
      <w:tblPr>
        <w:tblW w:w="0" w:type="auto"/>
        <w:jc w:val="center"/>
        <w:tblLook w:val="04A0" w:firstRow="1" w:lastRow="0" w:firstColumn="1" w:lastColumn="0" w:noHBand="0" w:noVBand="1"/>
      </w:tblPr>
      <w:tblGrid>
        <w:gridCol w:w="9360"/>
      </w:tblGrid>
      <w:tr w:rsidR="004A6EDC" w14:paraId="3BBDBEAC" w14:textId="77777777">
        <w:trPr>
          <w:jc w:val="center"/>
        </w:trPr>
        <w:tc>
          <w:tcPr>
            <w:tcW w:w="9360" w:type="dxa"/>
            <w:shd w:val="clear" w:color="auto" w:fill="1E2227"/>
            <w:tcMar>
              <w:top w:w="100" w:type="dxa"/>
              <w:left w:w="140" w:type="dxa"/>
              <w:bottom w:w="100" w:type="dxa"/>
              <w:right w:w="140" w:type="dxa"/>
            </w:tcMar>
          </w:tcPr>
          <w:p w14:paraId="531A8719" w14:textId="77777777" w:rsidR="004A6EDC" w:rsidRDefault="00000000">
            <w:pPr>
              <w:spacing w:before="40" w:after="40"/>
            </w:pPr>
            <w:r>
              <w:rPr>
                <w:rFonts w:ascii="Consolas" w:hAnsi="Consolas"/>
                <w:color w:val="E5C07B"/>
                <w:sz w:val="18"/>
              </w:rPr>
              <w:t># Moving Average Crossover Trading Logic</w:t>
            </w:r>
            <w:r>
              <w:rPr>
                <w:rFonts w:ascii="Consolas" w:hAnsi="Consolas"/>
                <w:color w:val="E5C07B"/>
                <w:sz w:val="18"/>
              </w:rPr>
              <w:br/>
              <w:t>short_ma &lt;- calculate_sma(df$Close, 20)</w:t>
            </w:r>
            <w:r>
              <w:rPr>
                <w:rFonts w:ascii="Consolas" w:hAnsi="Consolas"/>
                <w:color w:val="E5C07B"/>
                <w:sz w:val="18"/>
              </w:rPr>
              <w:br/>
              <w:t>long_ma  &lt;- calculate_sma(df$Close, 50)</w:t>
            </w:r>
            <w:r>
              <w:rPr>
                <w:rFonts w:ascii="Consolas" w:hAnsi="Consolas"/>
                <w:color w:val="E5C07B"/>
                <w:sz w:val="18"/>
              </w:rPr>
              <w:br/>
            </w:r>
            <w:r>
              <w:rPr>
                <w:rFonts w:ascii="Consolas" w:hAnsi="Consolas"/>
                <w:color w:val="E5C07B"/>
                <w:sz w:val="18"/>
              </w:rPr>
              <w:br/>
              <w:t># Vectorized state evaluation</w:t>
            </w:r>
            <w:r>
              <w:rPr>
                <w:rFonts w:ascii="Consolas" w:hAnsi="Consolas"/>
                <w:color w:val="E5C07B"/>
                <w:sz w:val="18"/>
              </w:rPr>
              <w:br/>
              <w:t>signals &lt;- ifelse(is.na(short_ma) | is.na(long_ma), "Hold",</w:t>
            </w:r>
            <w:r>
              <w:rPr>
                <w:rFonts w:ascii="Consolas" w:hAnsi="Consolas"/>
                <w:color w:val="E5C07B"/>
                <w:sz w:val="18"/>
              </w:rPr>
              <w:br/>
              <w:t xml:space="preserve">           ifelse(short_ma &gt; long_ma, "Buy",</w:t>
            </w:r>
            <w:r>
              <w:rPr>
                <w:rFonts w:ascii="Consolas" w:hAnsi="Consolas"/>
                <w:color w:val="E5C07B"/>
                <w:sz w:val="18"/>
              </w:rPr>
              <w:br/>
              <w:t xml:space="preserve">           ifelse(short_ma &lt; long_ma, "Sell", "Hold")))</w:t>
            </w:r>
            <w:r>
              <w:rPr>
                <w:rFonts w:ascii="Consolas" w:hAnsi="Consolas"/>
                <w:color w:val="E5C07B"/>
                <w:sz w:val="18"/>
              </w:rPr>
              <w:br/>
              <w:t>df$Signal &lt;- signals</w:t>
            </w:r>
            <w:r>
              <w:rPr>
                <w:rFonts w:ascii="Consolas" w:hAnsi="Consolas"/>
                <w:color w:val="E5C07B"/>
                <w:sz w:val="18"/>
              </w:rPr>
              <w:br/>
            </w:r>
            <w:r>
              <w:rPr>
                <w:rFonts w:ascii="Consolas" w:hAnsi="Consolas"/>
                <w:color w:val="E5C07B"/>
                <w:sz w:val="18"/>
              </w:rPr>
              <w:br/>
              <w:t># Detect precise transition crossover bars</w:t>
            </w:r>
            <w:r>
              <w:rPr>
                <w:rFonts w:ascii="Consolas" w:hAnsi="Consolas"/>
                <w:color w:val="E5C07B"/>
                <w:sz w:val="18"/>
              </w:rPr>
              <w:br/>
              <w:t>df$CrossoverEvent &lt;- "None"</w:t>
            </w:r>
            <w:r>
              <w:rPr>
                <w:rFonts w:ascii="Consolas" w:hAnsi="Consolas"/>
                <w:color w:val="E5C07B"/>
                <w:sz w:val="18"/>
              </w:rPr>
              <w:br/>
              <w:t>for (k in 2:nrow(df)) {</w:t>
            </w:r>
            <w:r>
              <w:rPr>
                <w:rFonts w:ascii="Consolas" w:hAnsi="Consolas"/>
                <w:color w:val="E5C07B"/>
                <w:sz w:val="18"/>
              </w:rPr>
              <w:br/>
              <w:t xml:space="preserve">  if (df$SMA20[k] &gt; df$SMA50[k] &amp;&amp; df$SMA20[k-1] &lt;= df$SMA50[k-1]) {</w:t>
            </w:r>
            <w:r>
              <w:rPr>
                <w:rFonts w:ascii="Consolas" w:hAnsi="Consolas"/>
                <w:color w:val="E5C07B"/>
                <w:sz w:val="18"/>
              </w:rPr>
              <w:br/>
              <w:t xml:space="preserve">    df$CrossoverEvent[k] &lt;- "Golden Cross (Buy)"</w:t>
            </w:r>
            <w:r>
              <w:rPr>
                <w:rFonts w:ascii="Consolas" w:hAnsi="Consolas"/>
                <w:color w:val="E5C07B"/>
                <w:sz w:val="18"/>
              </w:rPr>
              <w:br/>
              <w:t xml:space="preserve">  } else if (df$SMA20[k] &lt; df$SMA50[k] &amp;&amp; df$SMA20[k-1] &gt;= df$SMA50[k-1]) {</w:t>
            </w:r>
            <w:r>
              <w:rPr>
                <w:rFonts w:ascii="Consolas" w:hAnsi="Consolas"/>
                <w:color w:val="E5C07B"/>
                <w:sz w:val="18"/>
              </w:rPr>
              <w:br/>
              <w:t xml:space="preserve">    df$CrossoverEvent[k] &lt;- "Death Cross (Sell)"</w:t>
            </w:r>
            <w:r>
              <w:rPr>
                <w:rFonts w:ascii="Consolas" w:hAnsi="Consolas"/>
                <w:color w:val="E5C07B"/>
                <w:sz w:val="18"/>
              </w:rPr>
              <w:br/>
              <w:t xml:space="preserve">  }</w:t>
            </w:r>
            <w:r>
              <w:rPr>
                <w:rFonts w:ascii="Consolas" w:hAnsi="Consolas"/>
                <w:color w:val="E5C07B"/>
                <w:sz w:val="18"/>
              </w:rPr>
              <w:br/>
              <w:t>}</w:t>
            </w:r>
          </w:p>
        </w:tc>
      </w:tr>
    </w:tbl>
    <w:p w14:paraId="7948983C" w14:textId="77777777" w:rsidR="004A6EDC" w:rsidRDefault="004A6EDC">
      <w:pPr>
        <w:spacing w:after="80"/>
      </w:pPr>
    </w:p>
    <w:p w14:paraId="71052823" w14:textId="77777777" w:rsidR="004A6EDC" w:rsidRDefault="00000000">
      <w:pPr>
        <w:keepNext/>
        <w:spacing w:before="240" w:after="80"/>
      </w:pPr>
      <w:r>
        <w:rPr>
          <w:rFonts w:ascii="Calibri" w:hAnsi="Calibri"/>
          <w:b/>
          <w:color w:val="2563EB"/>
          <w:sz w:val="26"/>
        </w:rPr>
        <w:lastRenderedPageBreak/>
        <w:t>4.2 Chart Bar Annotations &amp; Signal Log</w:t>
      </w:r>
    </w:p>
    <w:p w14:paraId="6DE1A7BF" w14:textId="77777777" w:rsidR="004A6EDC" w:rsidRDefault="00000000">
      <w:pPr>
        <w:spacing w:before="40" w:after="120"/>
      </w:pPr>
      <w:r>
        <w:rPr>
          <w:rFonts w:ascii="Calibri" w:hAnsi="Calibri"/>
          <w:color w:val="334155"/>
          <w:sz w:val="21"/>
        </w:rPr>
        <w:t>To ensure intuitive visual recognition, trade signals are annotated directly on the price bars using geom_point() and geom_text() callout badges. Golden Cross buy points are marked with green upward triangles (▲) and labelled 'BUY (Golden Cross)'. Death Cross sell points are marked with red downward triangles (▼) and labelled 'SELL (Death Cross)'.</w:t>
      </w:r>
    </w:p>
    <w:p w14:paraId="04ED2CEC" w14:textId="77777777" w:rsidR="004A6EDC" w:rsidRDefault="00000000">
      <w:pPr>
        <w:spacing w:before="40" w:after="120"/>
      </w:pPr>
      <w:r>
        <w:rPr>
          <w:rFonts w:ascii="Calibri" w:hAnsi="Calibri"/>
          <w:color w:val="334155"/>
          <w:sz w:val="21"/>
        </w:rPr>
        <w:t>In addition, the dashboard includes a real-time metric row displaying the latest Close price, current SMA values, and an active signal status badge, alongside a structured Historical Signal Log Table recording all detected transitions throughout the selected date range.</w:t>
      </w:r>
    </w:p>
    <w:p w14:paraId="11114A73" w14:textId="77777777" w:rsidR="004A6EDC" w:rsidRDefault="004A6EDC">
      <w:pPr>
        <w:spacing w:after="80"/>
      </w:pPr>
    </w:p>
    <w:sectPr w:rsidR="004A6E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762966">
    <w:abstractNumId w:val="8"/>
  </w:num>
  <w:num w:numId="2" w16cid:durableId="1717703963">
    <w:abstractNumId w:val="6"/>
  </w:num>
  <w:num w:numId="3" w16cid:durableId="584845782">
    <w:abstractNumId w:val="5"/>
  </w:num>
  <w:num w:numId="4" w16cid:durableId="1967422633">
    <w:abstractNumId w:val="4"/>
  </w:num>
  <w:num w:numId="5" w16cid:durableId="17856136">
    <w:abstractNumId w:val="7"/>
  </w:num>
  <w:num w:numId="6" w16cid:durableId="1241209592">
    <w:abstractNumId w:val="3"/>
  </w:num>
  <w:num w:numId="7" w16cid:durableId="1411852541">
    <w:abstractNumId w:val="2"/>
  </w:num>
  <w:num w:numId="8" w16cid:durableId="321935465">
    <w:abstractNumId w:val="1"/>
  </w:num>
  <w:num w:numId="9" w16cid:durableId="167248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412"/>
    <w:rsid w:val="0029639D"/>
    <w:rsid w:val="00326F90"/>
    <w:rsid w:val="004A6EDC"/>
    <w:rsid w:val="00AA1D8D"/>
    <w:rsid w:val="00B47730"/>
    <w:rsid w:val="00CB0664"/>
    <w:rsid w:val="00D46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C0CB8"/>
  <w14:defaultImageDpi w14:val="300"/>
  <w15:docId w15:val="{19BC8C7B-5A49-49D1-9C31-BADF2ECB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6: Technical Analysis using R, Visualization Phase</dc:title>
  <dc:subject/>
  <dc:creator>Rachna Lekh</dc:creator>
  <cp:keywords/>
  <dc:description/>
  <cp:lastModifiedBy>Bhavya Bansal</cp:lastModifiedBy>
  <cp:revision>2</cp:revision>
  <dcterms:created xsi:type="dcterms:W3CDTF">2013-12-23T23:15:00Z</dcterms:created>
  <dcterms:modified xsi:type="dcterms:W3CDTF">2026-10-01T16:47:00Z</dcterms:modified>
  <cp:category/>
</cp:coreProperties>
</file>