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486C" w14:textId="77777777" w:rsidR="00F84C48" w:rsidRDefault="00F84C48">
      <w:pPr>
        <w:ind w:firstLine="141"/>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F84C48" w14:paraId="25562E6B" w14:textId="77777777">
        <w:tc>
          <w:tcPr>
            <w:tcW w:w="1920" w:type="dxa"/>
          </w:tcPr>
          <w:p w14:paraId="1BA52F47" w14:textId="77777777" w:rsidR="00F84C48" w:rsidRDefault="00000000">
            <w:pPr>
              <w:widowControl w:val="0"/>
              <w:spacing w:line="240" w:lineRule="auto"/>
              <w:ind w:firstLine="141"/>
            </w:pPr>
            <w:r>
              <w:rPr>
                <w:rFonts w:eastAsia="Calibri"/>
              </w:rPr>
              <w:t>Name</w:t>
            </w:r>
          </w:p>
        </w:tc>
        <w:tc>
          <w:tcPr>
            <w:tcW w:w="7005" w:type="dxa"/>
          </w:tcPr>
          <w:p w14:paraId="2B137AAE" w14:textId="63D6D10D" w:rsidR="00F84C48" w:rsidRPr="00562453" w:rsidRDefault="00562453">
            <w:pPr>
              <w:widowControl w:val="0"/>
              <w:spacing w:line="240" w:lineRule="auto"/>
              <w:ind w:firstLine="141"/>
              <w:rPr>
                <w:rFonts w:hint="eastAsia"/>
              </w:rPr>
            </w:pPr>
            <w:r>
              <w:rPr>
                <w:rFonts w:hint="eastAsia"/>
              </w:rPr>
              <w:t>LEE LE SI</w:t>
            </w:r>
          </w:p>
        </w:tc>
      </w:tr>
      <w:tr w:rsidR="00F84C48" w14:paraId="29A811EB" w14:textId="77777777">
        <w:tc>
          <w:tcPr>
            <w:tcW w:w="1920" w:type="dxa"/>
          </w:tcPr>
          <w:p w14:paraId="763F841A" w14:textId="77777777" w:rsidR="00F84C48" w:rsidRDefault="00000000">
            <w:pPr>
              <w:widowControl w:val="0"/>
              <w:spacing w:line="240" w:lineRule="auto"/>
              <w:ind w:firstLine="141"/>
            </w:pPr>
            <w:r>
              <w:rPr>
                <w:rFonts w:eastAsia="Calibri"/>
              </w:rPr>
              <w:t>Student ID</w:t>
            </w:r>
          </w:p>
        </w:tc>
        <w:tc>
          <w:tcPr>
            <w:tcW w:w="7005" w:type="dxa"/>
          </w:tcPr>
          <w:p w14:paraId="7DBBD35A" w14:textId="677588B0" w:rsidR="00F84C48" w:rsidRDefault="00562453">
            <w:pPr>
              <w:widowControl w:val="0"/>
              <w:spacing w:line="240" w:lineRule="auto"/>
              <w:ind w:firstLine="141"/>
              <w:rPr>
                <w:rFonts w:hint="eastAsia"/>
              </w:rPr>
            </w:pPr>
            <w:r>
              <w:rPr>
                <w:rFonts w:hint="eastAsia"/>
              </w:rPr>
              <w:t>34599223</w:t>
            </w:r>
          </w:p>
        </w:tc>
      </w:tr>
      <w:tr w:rsidR="00F84C48" w14:paraId="37CED852" w14:textId="77777777">
        <w:tc>
          <w:tcPr>
            <w:tcW w:w="1920" w:type="dxa"/>
          </w:tcPr>
          <w:p w14:paraId="2FC41F57" w14:textId="77777777" w:rsidR="00F84C48" w:rsidRDefault="00000000">
            <w:pPr>
              <w:widowControl w:val="0"/>
              <w:spacing w:line="240" w:lineRule="auto"/>
              <w:ind w:firstLine="141"/>
            </w:pPr>
            <w:r>
              <w:rPr>
                <w:rFonts w:eastAsia="Calibri"/>
              </w:rPr>
              <w:t>Studio Session</w:t>
            </w:r>
          </w:p>
        </w:tc>
        <w:tc>
          <w:tcPr>
            <w:tcW w:w="7005" w:type="dxa"/>
          </w:tcPr>
          <w:p w14:paraId="11F32493" w14:textId="06ED198C" w:rsidR="00F84C48" w:rsidRDefault="00562453">
            <w:pPr>
              <w:widowControl w:val="0"/>
              <w:spacing w:line="240" w:lineRule="auto"/>
              <w:ind w:firstLine="141"/>
              <w:rPr>
                <w:rFonts w:hint="eastAsia"/>
              </w:rPr>
            </w:pPr>
            <w:r>
              <w:rPr>
                <w:rFonts w:hint="eastAsia"/>
              </w:rPr>
              <w:t>Friday 12pm</w:t>
            </w:r>
          </w:p>
        </w:tc>
      </w:tr>
    </w:tbl>
    <w:p w14:paraId="154D8F1E" w14:textId="77777777" w:rsidR="00F84C48" w:rsidRDefault="00000000">
      <w:r>
        <w:pict w14:anchorId="0F37E6C7">
          <v:rect id="_x0000_i1025" style="width:0;height:1.5pt" o:hralign="center" o:hrstd="t" o:hr="t" fillcolor="#a0a0a0" stroked="f"/>
        </w:pict>
      </w:r>
    </w:p>
    <w:p w14:paraId="5B7836C2" w14:textId="77777777" w:rsidR="00F84C48" w:rsidRDefault="00000000">
      <w:pPr>
        <w:pStyle w:val="Heading2"/>
      </w:pPr>
      <w:bookmarkStart w:id="0" w:name="_3f343gtfeef9" w:colFirst="0" w:colLast="0"/>
      <w:bookmarkEnd w:id="0"/>
      <w:r>
        <w:t>Part A: URL of the Visualisation</w:t>
      </w:r>
    </w:p>
    <w:p w14:paraId="2DD9878B" w14:textId="77777777" w:rsidR="00F84C48" w:rsidRDefault="00F84C48"/>
    <w:p w14:paraId="0D31BBE3" w14:textId="77777777" w:rsidR="00F84C48" w:rsidRDefault="00000000">
      <w:pPr>
        <w:rPr>
          <w:i/>
          <w:iCs/>
          <w:color w:val="999999"/>
        </w:rPr>
      </w:pPr>
      <w:r>
        <w:rPr>
          <w:rFonts w:eastAsia="Calibri"/>
          <w:i/>
          <w:iCs/>
          <w:color w:val="999999"/>
        </w:rPr>
        <w:t xml:space="preserve">Paste your visualisation URL in the empty space below. </w:t>
      </w:r>
    </w:p>
    <w:p w14:paraId="18742FAB" w14:textId="3914EB7F" w:rsidR="00562453" w:rsidRPr="00562453" w:rsidRDefault="00562453">
      <w:pPr>
        <w:rPr>
          <w:rFonts w:hint="eastAsia"/>
          <w:i/>
          <w:iCs/>
          <w:color w:val="999999"/>
        </w:rPr>
      </w:pPr>
      <w:hyperlink r:id="rId6" w:history="1">
        <w:r w:rsidRPr="0068572F">
          <w:rPr>
            <w:rStyle w:val="Hyperlink"/>
            <w:i/>
            <w:iCs/>
          </w:rPr>
          <w:t>https://rachxll.github.io/FIT2179_DV2/</w:t>
        </w:r>
      </w:hyperlink>
      <w:r>
        <w:rPr>
          <w:rFonts w:hint="eastAsia"/>
          <w:i/>
          <w:iCs/>
          <w:color w:val="999999"/>
        </w:rPr>
        <w:t xml:space="preserve"> </w:t>
      </w:r>
    </w:p>
    <w:p w14:paraId="4801A584" w14:textId="77777777" w:rsidR="00F84C48" w:rsidRDefault="00000000">
      <w:pPr>
        <w:rPr>
          <w:i/>
          <w:iCs/>
          <w:color w:val="999999"/>
        </w:rPr>
      </w:pPr>
      <w:r>
        <w:rPr>
          <w:rFonts w:eastAsia="Calibri"/>
          <w:i/>
          <w:iCs/>
          <w:color w:val="999999"/>
        </w:rPr>
        <w:t>Tip: Test your URL in incognito mode to ensure it is a working URL</w:t>
      </w:r>
    </w:p>
    <w:p w14:paraId="02379FAF" w14:textId="77777777" w:rsidR="00F84C48" w:rsidRDefault="00F84C48">
      <w:pPr>
        <w:rPr>
          <w:i/>
          <w:iCs/>
          <w:color w:val="999999"/>
        </w:rPr>
      </w:pPr>
    </w:p>
    <w:p w14:paraId="2AF5B12D" w14:textId="77777777" w:rsidR="00F84C48" w:rsidRDefault="00F84C48">
      <w:pPr>
        <w:rPr>
          <w:i/>
          <w:iCs/>
          <w:color w:val="999999"/>
          <w:u w:val="single"/>
        </w:rPr>
      </w:pPr>
    </w:p>
    <w:p w14:paraId="2E9AD275" w14:textId="77777777" w:rsidR="00F84C48" w:rsidRDefault="00F84C48"/>
    <w:p w14:paraId="0488AB73" w14:textId="77777777" w:rsidR="00F84C48" w:rsidRDefault="00F84C48"/>
    <w:p w14:paraId="0A25FF32" w14:textId="77777777" w:rsidR="00F84C48" w:rsidRDefault="00000000">
      <w:r>
        <w:pict w14:anchorId="6E9D17AA">
          <v:rect id="_x0000_i1026" style="width:0;height:1.5pt" o:hralign="center" o:hrstd="t" o:hr="t" fillcolor="#a0a0a0" stroked="f"/>
        </w:pict>
      </w:r>
    </w:p>
    <w:p w14:paraId="6EBBDF47" w14:textId="77777777" w:rsidR="00F84C48" w:rsidRDefault="00000000">
      <w:pPr>
        <w:pStyle w:val="Heading2"/>
      </w:pPr>
      <w:bookmarkStart w:id="1" w:name="_rrb0bosrmmlr" w:colFirst="0" w:colLast="0"/>
      <w:bookmarkEnd w:id="1"/>
      <w:r>
        <w:t>Part B: Domain Description</w:t>
      </w:r>
    </w:p>
    <w:p w14:paraId="387196E3" w14:textId="77777777" w:rsidR="00F84C48" w:rsidRDefault="00F84C48"/>
    <w:p w14:paraId="78B6521C" w14:textId="77777777" w:rsidR="00F84C48" w:rsidRDefault="00000000">
      <w:pPr>
        <w:rPr>
          <w:b/>
          <w:bCs/>
        </w:rPr>
      </w:pPr>
      <w:r>
        <w:rPr>
          <w:b/>
          <w:bCs/>
        </w:rPr>
        <w:t>Describe your domain chosen for DV II</w:t>
      </w:r>
    </w:p>
    <w:p w14:paraId="12711DEF" w14:textId="77777777" w:rsidR="00562453" w:rsidRDefault="00562453" w:rsidP="00562453">
      <w:pPr>
        <w:rPr>
          <w:lang w:val="en-US"/>
        </w:rPr>
      </w:pPr>
      <w:r w:rsidRPr="00562453">
        <w:rPr>
          <w:lang w:val="en-US"/>
        </w:rPr>
        <w:t>My chosen domain is tobacco use and smoking prevalence in Malaysia. The visualisation focuses on how smoking behaviour differs across Malaysian states, demographic groups, socioeconomic groups, and health burden indicators. The topic is important because smoking remains a major public health issue even though national prevalence has declined over time. The domain connects public health, social inequality, tobacco-control policy, and healthcare cost burden.</w:t>
      </w:r>
    </w:p>
    <w:p w14:paraId="4D7E6C15" w14:textId="77777777" w:rsidR="00562453" w:rsidRPr="00562453" w:rsidRDefault="00562453" w:rsidP="00562453">
      <w:pPr>
        <w:rPr>
          <w:lang w:val="en-US"/>
        </w:rPr>
      </w:pPr>
    </w:p>
    <w:p w14:paraId="259F1D4A" w14:textId="1B5E5D26" w:rsidR="00F84C48" w:rsidRPr="00562453" w:rsidRDefault="00562453" w:rsidP="00562453">
      <w:pPr>
        <w:rPr>
          <w:lang w:val="en-US"/>
        </w:rPr>
      </w:pPr>
      <w:r w:rsidRPr="00562453">
        <w:rPr>
          <w:lang w:val="en-US"/>
        </w:rPr>
        <w:t>The visualisation uses Malaysian smoking and tobacco-use survey data from sources such as NHMS and GATS, together with state-level income data, regional smoking comparison data, tobacco-control policy milestones, chronic disease death categories, and smoking-attributable healthcare cost estimates. The overall aim is to show that Malaysia’s smoking story is not only about national decline, but also about uneven burden across place, gender, age, education, income, and disease cost.</w:t>
      </w:r>
    </w:p>
    <w:p w14:paraId="643375F9" w14:textId="77777777" w:rsidR="00F84C48" w:rsidRDefault="00F84C48">
      <w:pPr>
        <w:ind w:left="0"/>
      </w:pPr>
    </w:p>
    <w:p w14:paraId="67630598" w14:textId="0E284C41" w:rsidR="00F84C48" w:rsidRDefault="00000000" w:rsidP="00562453">
      <w:pPr>
        <w:rPr>
          <w:b/>
          <w:bCs/>
        </w:rPr>
      </w:pPr>
      <w:r>
        <w:rPr>
          <w:b/>
          <w:bCs/>
        </w:rPr>
        <w:t>Describe the Why and Who aspects of your DV II</w:t>
      </w:r>
    </w:p>
    <w:p w14:paraId="030450B1" w14:textId="77777777" w:rsidR="00562453" w:rsidRDefault="00562453" w:rsidP="00562453">
      <w:pPr>
        <w:rPr>
          <w:lang w:val="en-US"/>
        </w:rPr>
      </w:pPr>
      <w:r w:rsidRPr="00562453">
        <w:rPr>
          <w:lang w:val="en-US"/>
        </w:rPr>
        <w:t xml:space="preserve">The main purpose of this visualisation is to help users understand where smoking remains common, which groups are more affected, and why targeted tobacco control is still needed. The visualisation supports several analytical tasks. Users can compare smoking prevalence between Malaysian states, identify high-prevalence areas, compare Malaysia </w:t>
      </w:r>
      <w:r w:rsidRPr="00562453">
        <w:rPr>
          <w:lang w:val="en-US"/>
        </w:rPr>
        <w:lastRenderedPageBreak/>
        <w:t>with other ASEAN countries, observe national change over time, examine differences by gender, age, education, and income, and connect smoking patterns to disease and healthcare cost burden.</w:t>
      </w:r>
    </w:p>
    <w:p w14:paraId="63468A9A" w14:textId="77777777" w:rsidR="00562453" w:rsidRPr="00562453" w:rsidRDefault="00562453" w:rsidP="00562453">
      <w:pPr>
        <w:rPr>
          <w:lang w:val="en-US"/>
        </w:rPr>
      </w:pPr>
    </w:p>
    <w:p w14:paraId="57983E16" w14:textId="77777777" w:rsidR="00562453" w:rsidRDefault="00562453" w:rsidP="00562453">
      <w:pPr>
        <w:rPr>
          <w:lang w:val="en-US"/>
        </w:rPr>
      </w:pPr>
      <w:r w:rsidRPr="00562453">
        <w:rPr>
          <w:lang w:val="en-US"/>
        </w:rPr>
        <w:t>The intended audience includes public health students, data visualisation students, researchers, policymakers, and general readers interested in tobacco-control issues in Malaysia. The visualisation is designed for users who may not be experts in epidemiology but need a clear, visual explanation of how smoking behaviour varies across different groups and why this variation matters.</w:t>
      </w:r>
    </w:p>
    <w:p w14:paraId="072AA81B" w14:textId="77777777" w:rsidR="00562453" w:rsidRPr="00562453" w:rsidRDefault="00562453" w:rsidP="00562453">
      <w:pPr>
        <w:rPr>
          <w:lang w:val="en-US"/>
        </w:rPr>
      </w:pPr>
    </w:p>
    <w:p w14:paraId="0692BD25" w14:textId="77777777" w:rsidR="00562453" w:rsidRPr="00562453" w:rsidRDefault="00562453" w:rsidP="00562453">
      <w:pPr>
        <w:rPr>
          <w:lang w:val="en-US"/>
        </w:rPr>
      </w:pPr>
      <w:r w:rsidRPr="00562453">
        <w:rPr>
          <w:lang w:val="en-US"/>
        </w:rPr>
        <w:t>The key user tasks are to compare, identify, locate, rank, and interpret. Users compare states, years, demographic groups, and income categories. They identify groups with higher smoking prevalence, locate geographic areas with heavier burden, rank Malaysia within the ASEAN context, and interpret how smoking patterns connect to policy, inequality, disease, and cost.</w:t>
      </w:r>
    </w:p>
    <w:p w14:paraId="5B497FAB" w14:textId="77777777" w:rsidR="00562453" w:rsidRPr="00562453" w:rsidRDefault="00562453" w:rsidP="00562453">
      <w:pPr>
        <w:rPr>
          <w:lang w:val="en-US"/>
        </w:rPr>
      </w:pPr>
    </w:p>
    <w:p w14:paraId="5CDA7A13" w14:textId="77777777" w:rsidR="00F84C48" w:rsidRDefault="00F84C48">
      <w:pPr>
        <w:ind w:left="0"/>
      </w:pPr>
    </w:p>
    <w:p w14:paraId="448A0D49" w14:textId="77777777" w:rsidR="00F84C48" w:rsidRDefault="00F84C48">
      <w:pPr>
        <w:ind w:left="0"/>
      </w:pPr>
    </w:p>
    <w:p w14:paraId="7F2C6FF3" w14:textId="77777777" w:rsidR="00F84C48" w:rsidRDefault="00F84C48">
      <w:pPr>
        <w:ind w:left="0"/>
      </w:pPr>
    </w:p>
    <w:p w14:paraId="66CFB396" w14:textId="77777777" w:rsidR="00F84C48" w:rsidRDefault="00000000">
      <w:r>
        <w:rPr>
          <w:b/>
          <w:bCs/>
        </w:rPr>
        <w:t>Describe the “What” aspect of your DV II</w:t>
      </w:r>
    </w:p>
    <w:p w14:paraId="2D54A17C" w14:textId="77777777" w:rsidR="00562453" w:rsidRDefault="00562453" w:rsidP="00562453">
      <w:pPr>
        <w:rPr>
          <w:lang w:val="en-US"/>
        </w:rPr>
      </w:pPr>
      <w:r w:rsidRPr="00562453">
        <w:rPr>
          <w:lang w:val="en-US"/>
        </w:rPr>
        <w:t>The data visualised in this project includes multiple dataset types. The main dataset contains smoking prevalence values by Malaysian state and year. Each state is an item, and its attributes include state name, year, and smoking prevalence percentage. Other datasets include national smoking prevalence over time, gender-based smoking prevalence, age-group prevalence, education-level prevalence, income-group smoking and vaping prevalence, state-level household income, ASEAN tobacco-use rankings, tobacco-control policy milestones, tobacco product use by age and education, chronic disease death shares, and smoking-attributable healthcare cost estimates.</w:t>
      </w:r>
    </w:p>
    <w:p w14:paraId="38BE0A3D" w14:textId="77777777" w:rsidR="00562453" w:rsidRPr="00562453" w:rsidRDefault="00562453" w:rsidP="00562453">
      <w:pPr>
        <w:rPr>
          <w:lang w:val="en-US"/>
        </w:rPr>
      </w:pPr>
    </w:p>
    <w:p w14:paraId="22C3EFB6" w14:textId="77777777" w:rsidR="00562453" w:rsidRDefault="00562453" w:rsidP="00562453">
      <w:pPr>
        <w:rPr>
          <w:lang w:val="en-US"/>
        </w:rPr>
      </w:pPr>
      <w:r w:rsidRPr="00562453">
        <w:rPr>
          <w:lang w:val="en-US"/>
        </w:rPr>
        <w:t>The data contains both categorical and quantitative attributes. Categorical attributes include state, region, gender, age group, education level, income category, country, disease category, tobacco product type, and policy type. Quantitative attributes include smoking prevalence percentage, tobacco-use prevalence percentage, household income, ranking position, disease death share, and healthcare treatment cost in RM million. Temporal attributes include survey year, policy year, and trend year.</w:t>
      </w:r>
    </w:p>
    <w:p w14:paraId="3F09FA43" w14:textId="77777777" w:rsidR="00562453" w:rsidRPr="00562453" w:rsidRDefault="00562453" w:rsidP="00562453">
      <w:pPr>
        <w:rPr>
          <w:lang w:val="en-US"/>
        </w:rPr>
      </w:pPr>
    </w:p>
    <w:p w14:paraId="51CFCE8A" w14:textId="77777777" w:rsidR="00562453" w:rsidRPr="00562453" w:rsidRDefault="00562453" w:rsidP="00562453">
      <w:pPr>
        <w:rPr>
          <w:lang w:val="en-US"/>
        </w:rPr>
      </w:pPr>
      <w:r w:rsidRPr="00562453">
        <w:rPr>
          <w:lang w:val="en-US"/>
        </w:rPr>
        <w:t>The data is mainly table-based, with some hierarchical and geographic structures. The map uses geographic state data to encode spatial location. The treemap and disease-cost pathway use hierarchical or relational structure to show how disease categories and cost pathways are organised. Together, these data types support both overview and detailed comparison across the smoking-related public health story.</w:t>
      </w:r>
    </w:p>
    <w:p w14:paraId="49297A80" w14:textId="77777777" w:rsidR="00F84C48" w:rsidRPr="00562453" w:rsidRDefault="00F84C48">
      <w:pPr>
        <w:rPr>
          <w:lang w:val="en-US"/>
        </w:rPr>
      </w:pPr>
    </w:p>
    <w:p w14:paraId="574D67C0" w14:textId="77777777" w:rsidR="00F84C48" w:rsidRDefault="00F84C48">
      <w:pPr>
        <w:ind w:left="0"/>
      </w:pPr>
    </w:p>
    <w:p w14:paraId="4F921621" w14:textId="77777777" w:rsidR="00F84C48" w:rsidRDefault="00F84C48">
      <w:pPr>
        <w:ind w:left="0"/>
      </w:pPr>
    </w:p>
    <w:p w14:paraId="3267C09D" w14:textId="77777777" w:rsidR="00F84C48" w:rsidRDefault="00F84C48"/>
    <w:p w14:paraId="51550B98" w14:textId="77777777" w:rsidR="00F84C48" w:rsidRDefault="00000000">
      <w:pPr>
        <w:rPr>
          <w:b/>
          <w:bCs/>
        </w:rPr>
      </w:pPr>
      <w:r>
        <w:rPr>
          <w:b/>
          <w:bCs/>
        </w:rPr>
        <w:t>Describe the “How” aspect of your DV II</w:t>
      </w:r>
    </w:p>
    <w:p w14:paraId="24871EF0" w14:textId="77777777" w:rsidR="00562453" w:rsidRDefault="00562453" w:rsidP="00562453">
      <w:pPr>
        <w:rPr>
          <w:lang w:val="en-US"/>
        </w:rPr>
      </w:pPr>
      <w:r w:rsidRPr="00562453">
        <w:rPr>
          <w:lang w:val="en-US"/>
        </w:rPr>
        <w:t>The visualisation uses a dashboard-style narrative layout with multiple coordinated idioms. A choropleth map is used to show state-level smoking prevalence, using geographic position and colour intensity to show where smoking remains higher or lower. A year slider allows users to compare 2011 and 2023. A bump chart is used to show Malaysia’s smoking ranking within ASEAN, using line position and rank order to support regional comparison. A time-series line chart shows national smoking prevalence over time, with annotations highlighting important years and possible policy or market influences.</w:t>
      </w:r>
    </w:p>
    <w:p w14:paraId="61237467" w14:textId="77777777" w:rsidR="00562453" w:rsidRPr="00562453" w:rsidRDefault="00562453" w:rsidP="00562453">
      <w:pPr>
        <w:rPr>
          <w:lang w:val="en-US"/>
        </w:rPr>
      </w:pPr>
    </w:p>
    <w:p w14:paraId="6EBAA797" w14:textId="77777777" w:rsidR="00562453" w:rsidRDefault="00562453" w:rsidP="00562453">
      <w:pPr>
        <w:rPr>
          <w:lang w:val="en-US"/>
        </w:rPr>
      </w:pPr>
      <w:r w:rsidRPr="00562453">
        <w:rPr>
          <w:lang w:val="en-US"/>
        </w:rPr>
        <w:t>The demographic section uses grouped and horizontal bar charts to compare smoking prevalence by gender, age, and education. These charts use bar length and position to make differences between groups easy to compare. A heatmap is used to show tobacco product use across age and education groups, using colour intensity to reveal heavier tobacco exposure across combinations of social groups. The income section uses a line chart to compare smoking and vaping across income groups, and a scatterplot to compare state smoking prevalence with household income.</w:t>
      </w:r>
    </w:p>
    <w:p w14:paraId="058DE104" w14:textId="77777777" w:rsidR="00562453" w:rsidRPr="00562453" w:rsidRDefault="00562453" w:rsidP="00562453">
      <w:pPr>
        <w:rPr>
          <w:lang w:val="en-US"/>
        </w:rPr>
      </w:pPr>
    </w:p>
    <w:p w14:paraId="09BC33DC" w14:textId="77777777" w:rsidR="00562453" w:rsidRDefault="00562453" w:rsidP="00562453">
      <w:pPr>
        <w:rPr>
          <w:lang w:val="en-US"/>
        </w:rPr>
      </w:pPr>
      <w:r w:rsidRPr="00562453">
        <w:rPr>
          <w:lang w:val="en-US"/>
        </w:rPr>
        <w:t>The final health-burden section uses a pathway diagram, treemap, and horizontal bar chart. The pathway diagram explains the conceptual relationship between smoking, disease, and healthcare cost. The treemap shows selected chronic disease death shares, using block size to represent proportion. The healthcare cost bar chart uses bar length to compare smoking-attributable treatment costs for COPD, lung cancer, and ischaemic heart disease.</w:t>
      </w:r>
    </w:p>
    <w:p w14:paraId="6C9679CA" w14:textId="77777777" w:rsidR="00562453" w:rsidRPr="00562453" w:rsidRDefault="00562453" w:rsidP="00562453">
      <w:pPr>
        <w:rPr>
          <w:lang w:val="en-US"/>
        </w:rPr>
      </w:pPr>
    </w:p>
    <w:p w14:paraId="141E36E5" w14:textId="77777777" w:rsidR="00562453" w:rsidRPr="00562453" w:rsidRDefault="00562453" w:rsidP="00562453">
      <w:pPr>
        <w:rPr>
          <w:lang w:val="en-US"/>
        </w:rPr>
      </w:pPr>
      <w:r w:rsidRPr="00562453">
        <w:rPr>
          <w:lang w:val="en-US"/>
        </w:rPr>
        <w:t>The design uses a consistent warm colour theme, readable typography, section headings, year badges, annotations, and explanatory text to guide the reader through the story. Colour is used carefully to highlight important values and categories, while annotations explain key insights directly beside the relevant chart. The dashboard combines interaction, comparison, ranking, spatial encoding, hierarchical encoding, and narrative explanation to support a clear public health story.</w:t>
      </w:r>
    </w:p>
    <w:p w14:paraId="46AAA7C6" w14:textId="77777777" w:rsidR="00F84C48" w:rsidRPr="00562453" w:rsidRDefault="00F84C48">
      <w:pPr>
        <w:rPr>
          <w:lang w:val="en-US"/>
        </w:rPr>
      </w:pPr>
    </w:p>
    <w:p w14:paraId="1BF343CE" w14:textId="77777777" w:rsidR="00F84C48" w:rsidRDefault="00F84C48">
      <w:pPr>
        <w:rPr>
          <w:b/>
          <w:bCs/>
        </w:rPr>
      </w:pPr>
    </w:p>
    <w:p w14:paraId="5E7CE663" w14:textId="77777777" w:rsidR="00F84C48" w:rsidRDefault="00F84C48">
      <w:pPr>
        <w:ind w:left="0"/>
        <w:rPr>
          <w:b/>
          <w:bCs/>
        </w:rPr>
      </w:pPr>
    </w:p>
    <w:p w14:paraId="789F58C6" w14:textId="77777777" w:rsidR="00F84C48" w:rsidRDefault="00000000">
      <w:pPr>
        <w:ind w:left="0"/>
        <w:rPr>
          <w:b/>
          <w:bCs/>
        </w:rPr>
      </w:pPr>
      <w:r>
        <w:pict w14:anchorId="1BA1B784">
          <v:rect id="_x0000_i1027" style="width:0;height:1.5pt" o:hralign="center" o:hrstd="t" o:hr="t" fillcolor="#a0a0a0" stroked="f"/>
        </w:pict>
      </w:r>
    </w:p>
    <w:p w14:paraId="141DAAF4" w14:textId="77777777" w:rsidR="00F84C48" w:rsidRDefault="00000000">
      <w:pPr>
        <w:pStyle w:val="Heading2"/>
      </w:pPr>
      <w:bookmarkStart w:id="2" w:name="_89ruwr7ixhsv" w:colFirst="0" w:colLast="0"/>
      <w:bookmarkEnd w:id="2"/>
      <w:r>
        <w:t>Part C: Sketch</w:t>
      </w:r>
    </w:p>
    <w:p w14:paraId="51341267" w14:textId="77777777" w:rsidR="00F84C48" w:rsidRDefault="00000000">
      <w:pPr>
        <w:jc w:val="both"/>
        <w:rPr>
          <w:i/>
          <w:iCs/>
          <w:color w:val="999999"/>
        </w:rPr>
      </w:pPr>
      <w:r>
        <w:rPr>
          <w:i/>
          <w:iCs/>
          <w:color w:val="999999"/>
        </w:rPr>
        <w:t>A URL to a PDF document with an image of your sketch on your GitHub account.</w:t>
      </w:r>
    </w:p>
    <w:p w14:paraId="55B2E95C" w14:textId="77777777" w:rsidR="00F84C48" w:rsidRDefault="00000000">
      <w:pPr>
        <w:rPr>
          <w:i/>
          <w:iCs/>
          <w:color w:val="999999"/>
        </w:rPr>
      </w:pPr>
      <w:r>
        <w:rPr>
          <w:i/>
          <w:iCs/>
          <w:color w:val="999999"/>
        </w:rPr>
        <w:t>Tip: Test your URL in incognito mode to ensure it is a working URL</w:t>
      </w:r>
    </w:p>
    <w:p w14:paraId="4BAF567F" w14:textId="77777777" w:rsidR="00F84C48" w:rsidRDefault="00F84C48">
      <w:pPr>
        <w:ind w:left="0"/>
        <w:jc w:val="both"/>
        <w:rPr>
          <w:i/>
          <w:iCs/>
          <w:color w:val="999999"/>
        </w:rPr>
      </w:pPr>
    </w:p>
    <w:p w14:paraId="20962B71" w14:textId="77777777" w:rsidR="00F84C48" w:rsidRDefault="00F84C48">
      <w:pPr>
        <w:jc w:val="both"/>
      </w:pPr>
    </w:p>
    <w:p w14:paraId="3C0D57B5" w14:textId="77777777" w:rsidR="00F84C48" w:rsidRDefault="00000000">
      <w:pPr>
        <w:jc w:val="both"/>
        <w:rPr>
          <w:i/>
          <w:iCs/>
          <w:color w:val="999999"/>
        </w:rPr>
      </w:pPr>
      <w:r>
        <w:pict w14:anchorId="260A0604">
          <v:rect id="_x0000_i1028" style="width:0;height:1.5pt" o:hralign="center" o:hrstd="t" o:hr="t" fillcolor="#a0a0a0" stroked="f"/>
        </w:pict>
      </w:r>
    </w:p>
    <w:p w14:paraId="66EA836F" w14:textId="77777777" w:rsidR="00F84C48" w:rsidRDefault="00000000">
      <w:pPr>
        <w:jc w:val="both"/>
        <w:rPr>
          <w:i/>
          <w:iCs/>
          <w:color w:val="999999"/>
        </w:rPr>
      </w:pPr>
      <w:r>
        <w:rPr>
          <w:i/>
          <w:iCs/>
          <w:color w:val="999999"/>
        </w:rPr>
        <w:t>Paste a screenshot of your sketch for your DV II.</w:t>
      </w:r>
    </w:p>
    <w:p w14:paraId="4DC11A81" w14:textId="77777777" w:rsidR="00F84C48" w:rsidRDefault="00000000">
      <w:pPr>
        <w:jc w:val="both"/>
      </w:pPr>
      <w:r>
        <w:rPr>
          <w:i/>
          <w:iCs/>
          <w:color w:val="999999"/>
        </w:rPr>
        <w:t>Note: Use the entire page here for the screenshot and ensure that it is clearly legible and visible</w:t>
      </w:r>
    </w:p>
    <w:p w14:paraId="0422B742" w14:textId="77777777" w:rsidR="00F84C48" w:rsidRDefault="00000000">
      <w:pPr>
        <w:jc w:val="both"/>
      </w:pPr>
      <w:r>
        <w:pict w14:anchorId="699590BB">
          <v:rect id="_x0000_i1029" style="width:0;height:1.5pt" o:hralign="center" o:hrstd="t" o:hr="t" fillcolor="#a0a0a0" stroked="f"/>
        </w:pict>
      </w:r>
    </w:p>
    <w:p w14:paraId="42DD2423" w14:textId="77777777" w:rsidR="00F84C48" w:rsidRDefault="00000000">
      <w:pPr>
        <w:jc w:val="both"/>
      </w:pPr>
      <w:r>
        <w:br w:type="page"/>
      </w:r>
    </w:p>
    <w:p w14:paraId="38C01F4B" w14:textId="77777777" w:rsidR="00F84C48" w:rsidRDefault="00000000">
      <w:pPr>
        <w:pStyle w:val="Heading2"/>
      </w:pPr>
      <w:bookmarkStart w:id="3" w:name="_6kzcpxp7cuxo" w:colFirst="0" w:colLast="0"/>
      <w:bookmarkEnd w:id="3"/>
      <w:r>
        <w:lastRenderedPageBreak/>
        <w:t>Part D: Full-size screenshot of your DV II</w:t>
      </w:r>
    </w:p>
    <w:p w14:paraId="3D7D4C26" w14:textId="77777777" w:rsidR="00F84C48" w:rsidRDefault="00000000">
      <w:pPr>
        <w:jc w:val="both"/>
        <w:rPr>
          <w:i/>
          <w:iCs/>
          <w:color w:val="999999"/>
        </w:rPr>
      </w:pPr>
      <w:r>
        <w:rPr>
          <w:i/>
          <w:iCs/>
          <w:color w:val="999999"/>
        </w:rPr>
        <w:t>Paste a full-size screenshot of your DV II assignment from the URL here</w:t>
      </w:r>
    </w:p>
    <w:p w14:paraId="0ADF27B9" w14:textId="77777777" w:rsidR="00F84C48" w:rsidRDefault="00F84C48">
      <w:pPr>
        <w:jc w:val="both"/>
        <w:rPr>
          <w:i/>
          <w:iCs/>
          <w:color w:val="999999"/>
        </w:rPr>
      </w:pPr>
    </w:p>
    <w:p w14:paraId="2E03967C" w14:textId="77777777" w:rsidR="00F84C48" w:rsidRDefault="00F84C48">
      <w:pPr>
        <w:jc w:val="both"/>
      </w:pPr>
    </w:p>
    <w:p w14:paraId="5AB0E850" w14:textId="77777777" w:rsidR="00F84C48" w:rsidRDefault="00000000">
      <w:pPr>
        <w:jc w:val="both"/>
        <w:rPr>
          <w:color w:val="999999"/>
        </w:rPr>
      </w:pPr>
      <w:r>
        <w:pict w14:anchorId="29DE4880">
          <v:rect id="_x0000_i1030" style="width:0;height:1.5pt" o:hralign="center" o:hrstd="t" o:hr="t" fillcolor="#a0a0a0" stroked="f"/>
        </w:pict>
      </w:r>
    </w:p>
    <w:p w14:paraId="4FCD3A06" w14:textId="77777777" w:rsidR="00F84C48" w:rsidRDefault="00F84C48"/>
    <w:sectPr w:rsidR="00F84C48">
      <w:headerReference w:type="default" r:id="rId7"/>
      <w:footerReference w:type="default" r:id="rId8"/>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9EF2D" w14:textId="77777777" w:rsidR="00396EF8" w:rsidRDefault="00396EF8">
      <w:pPr>
        <w:spacing w:line="240" w:lineRule="auto"/>
      </w:pPr>
      <w:r>
        <w:separator/>
      </w:r>
    </w:p>
  </w:endnote>
  <w:endnote w:type="continuationSeparator" w:id="0">
    <w:p w14:paraId="2F680DAD" w14:textId="77777777" w:rsidR="00396EF8" w:rsidRDefault="00396E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7E07AC3-8365-46F1-BDE7-04E2D8F200CF}"/>
    <w:embedBold r:id="rId2" w:fontKey="{51CE85F9-BFC8-4444-BEC4-4B61DC88BDF4}"/>
    <w:embedItalic r:id="rId3" w:fontKey="{5DA30FAE-A441-47F1-BAF4-9B538AA2979E}"/>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755C9AC-B5B3-4F60-8D3B-F7C5FD2300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A953E" w14:textId="77777777" w:rsidR="00F84C48" w:rsidRDefault="00000000">
    <w:pPr>
      <w:jc w:val="right"/>
    </w:pPr>
    <w:r>
      <w:fldChar w:fldCharType="begin"/>
    </w:r>
    <w:r>
      <w:instrText>PAGE</w:instrText>
    </w:r>
    <w:r>
      <w:fldChar w:fldCharType="separate"/>
    </w:r>
    <w:r w:rsidR="005624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B97A6" w14:textId="77777777" w:rsidR="00396EF8" w:rsidRDefault="00396EF8">
      <w:pPr>
        <w:spacing w:line="240" w:lineRule="auto"/>
      </w:pPr>
      <w:r>
        <w:separator/>
      </w:r>
    </w:p>
  </w:footnote>
  <w:footnote w:type="continuationSeparator" w:id="0">
    <w:p w14:paraId="0DA0DA7F" w14:textId="77777777" w:rsidR="00396EF8" w:rsidRDefault="00396E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9113" w14:textId="77777777" w:rsidR="00F84C48"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78705FAA" w14:textId="77777777" w:rsidR="00F84C48" w:rsidRDefault="00F84C4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C48"/>
    <w:rsid w:val="002459DA"/>
    <w:rsid w:val="00396EF8"/>
    <w:rsid w:val="00562453"/>
    <w:rsid w:val="00EF4DD7"/>
    <w:rsid w:val="00F84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8D903"/>
  <w15:docId w15:val="{50148553-1723-470A-8941-C954CED31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GB" w:eastAsia="zh-CN"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eastAsia="Calibri"/>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562453"/>
    <w:rPr>
      <w:color w:val="0000FF" w:themeColor="hyperlink"/>
      <w:u w:val="single"/>
    </w:rPr>
  </w:style>
  <w:style w:type="character" w:styleId="UnresolvedMention">
    <w:name w:val="Unresolved Mention"/>
    <w:basedOn w:val="DefaultParagraphFont"/>
    <w:uiPriority w:val="99"/>
    <w:semiHidden/>
    <w:unhideWhenUsed/>
    <w:rsid w:val="005624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achxll.github.io/FIT2179_DV2/"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1023</Words>
  <Characters>5834</Characters>
  <Application>Microsoft Office Word</Application>
  <DocSecurity>0</DocSecurity>
  <Lines>48</Lines>
  <Paragraphs>13</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Lee</dc:creator>
  <cp:lastModifiedBy>Rachel Lee</cp:lastModifiedBy>
  <cp:revision>2</cp:revision>
  <dcterms:created xsi:type="dcterms:W3CDTF">2026-05-31T12:46:00Z</dcterms:created>
  <dcterms:modified xsi:type="dcterms:W3CDTF">2026-05-31T12:46:00Z</dcterms:modified>
</cp:coreProperties>
</file>