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A122B" w14:textId="77777777" w:rsidR="00A0673E" w:rsidRPr="009D0D16" w:rsidRDefault="00A0673E" w:rsidP="003E05D5"/>
    <w:p w14:paraId="107F1BA6" w14:textId="77777777" w:rsidR="00A0673E" w:rsidRPr="009D0D16" w:rsidRDefault="00A0673E" w:rsidP="003E05D5"/>
    <w:p w14:paraId="0D97BEA7" w14:textId="77777777" w:rsidR="00A0673E" w:rsidRPr="009D0D16" w:rsidRDefault="00A0673E" w:rsidP="003E05D5"/>
    <w:p w14:paraId="58572D36" w14:textId="77777777" w:rsidR="00A0673E" w:rsidRPr="009D0D16" w:rsidRDefault="00A0673E" w:rsidP="003E05D5"/>
    <w:p w14:paraId="0679C0DE" w14:textId="77777777" w:rsidR="00A0673E" w:rsidRPr="009D0D16" w:rsidRDefault="00A0673E" w:rsidP="003E05D5"/>
    <w:p w14:paraId="7E290EB2" w14:textId="1179BDF9" w:rsidR="00A0673E" w:rsidRPr="009D0D16" w:rsidRDefault="00A0673E" w:rsidP="003E05D5">
      <w:pPr>
        <w:pStyle w:val="Title"/>
      </w:pPr>
      <w:r w:rsidRPr="009D0D16">
        <w:t>Stock Return Predictability:</w:t>
      </w:r>
    </w:p>
    <w:p w14:paraId="6203AD52" w14:textId="7A00722D" w:rsidR="00A0673E" w:rsidRPr="009D0D16" w:rsidRDefault="00262707" w:rsidP="003E05D5">
      <w:pPr>
        <w:pStyle w:val="Title"/>
      </w:pPr>
      <w:r w:rsidRPr="009D0D16">
        <w:t>Review of Empirical Asset Pricing via Machine Learning</w:t>
      </w:r>
    </w:p>
    <w:p w14:paraId="59F1C4AB" w14:textId="77777777" w:rsidR="00A0673E" w:rsidRPr="009D0D16" w:rsidRDefault="00A0673E" w:rsidP="003E05D5"/>
    <w:p w14:paraId="3EBE6EF9" w14:textId="77777777" w:rsidR="00A0673E" w:rsidRPr="009D0D16" w:rsidRDefault="00A0673E" w:rsidP="003E05D5"/>
    <w:p w14:paraId="682BA6D9" w14:textId="77777777" w:rsidR="00A0673E" w:rsidRPr="009D0D16" w:rsidRDefault="00A0673E" w:rsidP="003E05D5">
      <w:pPr>
        <w:jc w:val="center"/>
      </w:pPr>
      <w:r w:rsidRPr="009D0D16">
        <w:t xml:space="preserve">Raúl Correa </w:t>
      </w:r>
      <w:proofErr w:type="spellStart"/>
      <w:r w:rsidRPr="009D0D16">
        <w:t>Ocañas</w:t>
      </w:r>
      <w:proofErr w:type="spellEnd"/>
    </w:p>
    <w:p w14:paraId="26EB1C72" w14:textId="77777777" w:rsidR="00A0673E" w:rsidRPr="009D0D16" w:rsidRDefault="00A0673E" w:rsidP="003E05D5">
      <w:pPr>
        <w:jc w:val="center"/>
      </w:pPr>
      <w:r w:rsidRPr="009D0D16">
        <w:t>Essex Business School, University of Essex</w:t>
      </w:r>
    </w:p>
    <w:p w14:paraId="31357D92" w14:textId="4F11018E" w:rsidR="00A0673E" w:rsidRPr="009D0D16" w:rsidRDefault="00A0673E" w:rsidP="003E05D5">
      <w:pPr>
        <w:jc w:val="center"/>
      </w:pPr>
      <w:r w:rsidRPr="009D0D16">
        <w:t>BE352: Asset Pricing</w:t>
      </w:r>
    </w:p>
    <w:p w14:paraId="6C1F25D3" w14:textId="77777777" w:rsidR="00A0673E" w:rsidRPr="009D0D16" w:rsidRDefault="00A0673E" w:rsidP="003E05D5">
      <w:pPr>
        <w:jc w:val="center"/>
      </w:pPr>
      <w:r w:rsidRPr="009D0D16">
        <w:rPr>
          <w:lang w:val="en-GB"/>
        </w:rPr>
        <w:t>Dr. Lazaros Symeonidis</w:t>
      </w:r>
    </w:p>
    <w:p w14:paraId="6B9389D5" w14:textId="236E4E48" w:rsidR="00A0673E" w:rsidRPr="009D0D16" w:rsidRDefault="00A0673E" w:rsidP="003E05D5">
      <w:pPr>
        <w:jc w:val="center"/>
      </w:pPr>
      <w:r w:rsidRPr="009D0D16">
        <w:t>January 22, 2026</w:t>
      </w:r>
    </w:p>
    <w:p w14:paraId="3CC2B35D" w14:textId="77777777" w:rsidR="00A0673E" w:rsidRPr="009D0D16" w:rsidRDefault="00A0673E" w:rsidP="003E05D5">
      <w:pPr>
        <w:jc w:val="center"/>
      </w:pPr>
    </w:p>
    <w:p w14:paraId="62B77C29" w14:textId="77777777" w:rsidR="00A0673E" w:rsidRPr="009D0D16" w:rsidRDefault="00A0673E" w:rsidP="003E05D5">
      <w:pPr>
        <w:jc w:val="center"/>
      </w:pPr>
    </w:p>
    <w:p w14:paraId="0B17F4F5" w14:textId="77777777" w:rsidR="00A0673E" w:rsidRPr="009D0D16" w:rsidRDefault="00A0673E" w:rsidP="003E05D5">
      <w:pPr>
        <w:jc w:val="center"/>
      </w:pPr>
    </w:p>
    <w:p w14:paraId="45F4917F" w14:textId="77777777" w:rsidR="00A0673E" w:rsidRPr="009D0D16" w:rsidRDefault="00A0673E" w:rsidP="003E05D5">
      <w:pPr>
        <w:jc w:val="center"/>
      </w:pPr>
    </w:p>
    <w:p w14:paraId="5E64E5CA" w14:textId="77777777" w:rsidR="00A0673E" w:rsidRPr="009D0D16" w:rsidRDefault="00A0673E" w:rsidP="003E05D5">
      <w:pPr>
        <w:jc w:val="center"/>
      </w:pPr>
    </w:p>
    <w:p w14:paraId="2904FCB3" w14:textId="0A7A6CF7" w:rsidR="00262707" w:rsidRPr="009D0D16" w:rsidRDefault="00262707" w:rsidP="003E05D5">
      <w:pPr>
        <w:jc w:val="center"/>
      </w:pPr>
      <w:r w:rsidRPr="009D0D16">
        <w:t xml:space="preserve">Word count: </w:t>
      </w:r>
      <w:r w:rsidR="00C34532">
        <w:t>2403</w:t>
      </w:r>
    </w:p>
    <w:p w14:paraId="7BFB7EB3" w14:textId="77777777" w:rsidR="00262707" w:rsidRPr="009D0D16" w:rsidRDefault="00262707" w:rsidP="003E05D5"/>
    <w:p w14:paraId="151BF803" w14:textId="77777777" w:rsidR="00A0673E" w:rsidRPr="009D0D16" w:rsidRDefault="00A0673E" w:rsidP="003E05D5">
      <w:pPr>
        <w:rPr>
          <w:rFonts w:eastAsiaTheme="majorEastAsia"/>
        </w:rPr>
      </w:pPr>
      <w:r w:rsidRPr="009D0D16">
        <w:br w:type="page"/>
      </w:r>
    </w:p>
    <w:p w14:paraId="67A90632" w14:textId="33B3037F" w:rsidR="00262707" w:rsidRPr="009D0D16" w:rsidRDefault="001016BE" w:rsidP="003E05D5">
      <w:pPr>
        <w:jc w:val="center"/>
        <w:rPr>
          <w:b/>
          <w:bCs/>
        </w:rPr>
      </w:pPr>
      <w:r w:rsidRPr="009D0D16">
        <w:rPr>
          <w:b/>
          <w:bCs/>
        </w:rPr>
        <w:lastRenderedPageBreak/>
        <w:t>1. Introduction</w:t>
      </w:r>
    </w:p>
    <w:p w14:paraId="689FF864" w14:textId="3D2DC90B" w:rsidR="005E395F" w:rsidRPr="009D0D16" w:rsidRDefault="00B43C09" w:rsidP="002C3D1C">
      <w:pPr>
        <w:ind w:firstLine="720"/>
        <w:rPr>
          <w:lang w:val="en-GB"/>
        </w:rPr>
      </w:pPr>
      <w:r w:rsidRPr="009D0D16">
        <w:t xml:space="preserve">One of the </w:t>
      </w:r>
      <w:r w:rsidR="008A4112" w:rsidRPr="009D0D16">
        <w:t>main</w:t>
      </w:r>
      <w:r w:rsidR="005E395F" w:rsidRPr="009D0D16">
        <w:rPr>
          <w:lang w:val="en-GB"/>
        </w:rPr>
        <w:t xml:space="preserve"> objective</w:t>
      </w:r>
      <w:r w:rsidR="008A4112" w:rsidRPr="009D0D16">
        <w:rPr>
          <w:lang w:val="en-GB"/>
        </w:rPr>
        <w:t>s</w:t>
      </w:r>
      <w:r w:rsidR="005E395F" w:rsidRPr="009D0D16">
        <w:rPr>
          <w:lang w:val="en-GB"/>
        </w:rPr>
        <w:t xml:space="preserve"> </w:t>
      </w:r>
      <w:r w:rsidR="008A4112" w:rsidRPr="009D0D16">
        <w:rPr>
          <w:lang w:val="en-GB"/>
        </w:rPr>
        <w:t>in the field of</w:t>
      </w:r>
      <w:r w:rsidR="005E395F" w:rsidRPr="009D0D16">
        <w:rPr>
          <w:lang w:val="en-GB"/>
        </w:rPr>
        <w:t xml:space="preserve"> asset pricing is to explain the cross-section of expected returns using economically meaningful sources of risk. Traditional empirical frameworks typically approach this task through linear factor models, in which expected excess returns are expressed as</w:t>
      </w:r>
      <w:r w:rsidR="001B09BF" w:rsidRPr="009D0D16">
        <w:rPr>
          <w:lang w:val="en-GB"/>
        </w:rPr>
        <w:t xml:space="preserve"> a combination of</w:t>
      </w:r>
      <w:r w:rsidR="005E395F" w:rsidRPr="009D0D16">
        <w:rPr>
          <w:lang w:val="en-GB"/>
        </w:rPr>
        <w:t xml:space="preserve"> compensation</w:t>
      </w:r>
      <w:r w:rsidR="001B09BF" w:rsidRPr="009D0D16">
        <w:rPr>
          <w:lang w:val="en-GB"/>
        </w:rPr>
        <w:t>s</w:t>
      </w:r>
      <w:r w:rsidR="005E395F" w:rsidRPr="009D0D16">
        <w:rPr>
          <w:lang w:val="en-GB"/>
        </w:rPr>
        <w:t xml:space="preserve"> for exposure to a small number of systematic risk factors. While this approach has provided influential benchmarks, such as the Capital Asset Pricing Model and multifactor </w:t>
      </w:r>
      <w:r w:rsidR="00331452" w:rsidRPr="009D0D16">
        <w:rPr>
          <w:lang w:val="en-GB"/>
        </w:rPr>
        <w:t>models</w:t>
      </w:r>
      <w:r w:rsidR="005E395F" w:rsidRPr="009D0D16">
        <w:rPr>
          <w:lang w:val="en-GB"/>
        </w:rPr>
        <w:t xml:space="preserve">, it has struggled to account for the growing body of </w:t>
      </w:r>
      <w:r w:rsidR="009248A3" w:rsidRPr="009D0D16">
        <w:rPr>
          <w:lang w:val="en-GB"/>
        </w:rPr>
        <w:t xml:space="preserve">documented, </w:t>
      </w:r>
      <w:r w:rsidR="005E395F" w:rsidRPr="009D0D16">
        <w:rPr>
          <w:lang w:val="en-GB"/>
        </w:rPr>
        <w:t xml:space="preserve">empirical </w:t>
      </w:r>
      <w:r w:rsidR="00A94A57" w:rsidRPr="009D0D16">
        <w:rPr>
          <w:lang w:val="en-GB"/>
        </w:rPr>
        <w:t>trend</w:t>
      </w:r>
      <w:r w:rsidR="009248A3" w:rsidRPr="009D0D16">
        <w:rPr>
          <w:lang w:val="en-GB"/>
        </w:rPr>
        <w:t>s</w:t>
      </w:r>
      <w:r w:rsidR="005E395F" w:rsidRPr="009D0D16">
        <w:rPr>
          <w:lang w:val="en-GB"/>
        </w:rPr>
        <w:t xml:space="preserve">. Over time, the literature has identified many return predictors based on </w:t>
      </w:r>
      <w:r w:rsidR="009E7833" w:rsidRPr="009D0D16">
        <w:rPr>
          <w:lang w:val="en-GB"/>
        </w:rPr>
        <w:t>stock</w:t>
      </w:r>
      <w:r w:rsidR="005E395F" w:rsidRPr="009D0D16">
        <w:rPr>
          <w:lang w:val="en-GB"/>
        </w:rPr>
        <w:t xml:space="preserve"> characteristics, </w:t>
      </w:r>
      <w:r w:rsidR="000823C5">
        <w:rPr>
          <w:lang w:val="en-GB"/>
        </w:rPr>
        <w:t>leading to a</w:t>
      </w:r>
      <w:r w:rsidR="005E395F" w:rsidRPr="009D0D16">
        <w:rPr>
          <w:lang w:val="en-GB"/>
        </w:rPr>
        <w:t xml:space="preserve"> rise </w:t>
      </w:r>
      <w:r w:rsidR="00266B19">
        <w:rPr>
          <w:lang w:val="en-GB"/>
        </w:rPr>
        <w:t>of</w:t>
      </w:r>
      <w:r w:rsidR="005E395F" w:rsidRPr="009D0D16">
        <w:rPr>
          <w:lang w:val="en-GB"/>
        </w:rPr>
        <w:t xml:space="preserve"> concerns about </w:t>
      </w:r>
      <w:r w:rsidR="005F1823" w:rsidRPr="00FB638C">
        <w:rPr>
          <w:i/>
          <w:iCs/>
          <w:lang w:val="en-GB"/>
        </w:rPr>
        <w:t>false discover</w:t>
      </w:r>
      <w:r w:rsidR="00FB638C" w:rsidRPr="00FB638C">
        <w:rPr>
          <w:i/>
          <w:iCs/>
          <w:lang w:val="en-GB"/>
        </w:rPr>
        <w:t>y</w:t>
      </w:r>
      <w:r w:rsidR="00D52208" w:rsidRPr="009D0D16">
        <w:rPr>
          <w:lang w:val="en-GB"/>
        </w:rPr>
        <w:t xml:space="preserve"> of </w:t>
      </w:r>
      <w:r w:rsidR="005E395F" w:rsidRPr="009D0D16">
        <w:rPr>
          <w:lang w:val="en-GB"/>
        </w:rPr>
        <w:t>factor</w:t>
      </w:r>
      <w:r w:rsidR="00D52208" w:rsidRPr="009D0D16">
        <w:rPr>
          <w:lang w:val="en-GB"/>
        </w:rPr>
        <w:t>s</w:t>
      </w:r>
      <w:r w:rsidR="005E395F" w:rsidRPr="009D0D16">
        <w:rPr>
          <w:lang w:val="en-GB"/>
        </w:rPr>
        <w:t xml:space="preserve"> and model misspecification</w:t>
      </w:r>
      <w:r w:rsidR="004C7241">
        <w:rPr>
          <w:lang w:val="en-GB"/>
        </w:rPr>
        <w:t>. “</w:t>
      </w:r>
      <w:r w:rsidR="002C3D1C" w:rsidRPr="002C3D1C">
        <w:rPr>
          <w:lang w:val="en-GB"/>
        </w:rPr>
        <w:t>Given the plethora of factors, and</w:t>
      </w:r>
      <w:r w:rsidR="002C3D1C">
        <w:rPr>
          <w:lang w:val="en-GB"/>
        </w:rPr>
        <w:t xml:space="preserve"> </w:t>
      </w:r>
      <w:r w:rsidR="002C3D1C" w:rsidRPr="002C3D1C">
        <w:rPr>
          <w:lang w:val="en-GB"/>
        </w:rPr>
        <w:t xml:space="preserve">the inevitable data mining, </w:t>
      </w:r>
      <w:r w:rsidR="004C7241">
        <w:rPr>
          <w:lang w:val="en-GB"/>
        </w:rPr>
        <w:t>m</w:t>
      </w:r>
      <w:r w:rsidR="004C7241" w:rsidRPr="004C7241">
        <w:rPr>
          <w:lang w:val="en-GB"/>
        </w:rPr>
        <w:t>any of the historically discovered factors would</w:t>
      </w:r>
      <w:r w:rsidR="004C7241">
        <w:rPr>
          <w:lang w:val="en-GB"/>
        </w:rPr>
        <w:t xml:space="preserve"> </w:t>
      </w:r>
      <w:r w:rsidR="004C7241" w:rsidRPr="004C7241">
        <w:rPr>
          <w:lang w:val="en-GB"/>
        </w:rPr>
        <w:t>be deemed “significant” by chance</w:t>
      </w:r>
      <w:r w:rsidR="004C7241">
        <w:rPr>
          <w:lang w:val="en-GB"/>
        </w:rPr>
        <w:t>”</w:t>
      </w:r>
      <w:r w:rsidR="005E395F" w:rsidRPr="009D0D16">
        <w:rPr>
          <w:lang w:val="en-GB"/>
        </w:rPr>
        <w:t xml:space="preserve"> </w:t>
      </w:r>
      <w:r w:rsidR="004C7241">
        <w:rPr>
          <w:lang w:val="en-GB"/>
        </w:rPr>
        <w:t>(</w:t>
      </w:r>
      <w:r w:rsidR="005E395F" w:rsidRPr="009D0D16">
        <w:rPr>
          <w:lang w:val="en-GB"/>
        </w:rPr>
        <w:t>Harvey, Liu &amp; Zhu</w:t>
      </w:r>
      <w:r w:rsidR="004C7241">
        <w:rPr>
          <w:lang w:val="en-GB"/>
        </w:rPr>
        <w:t xml:space="preserve">, </w:t>
      </w:r>
      <w:r w:rsidR="005E395F" w:rsidRPr="009D0D16">
        <w:rPr>
          <w:lang w:val="en-GB"/>
        </w:rPr>
        <w:t>2016</w:t>
      </w:r>
      <w:r w:rsidR="001A17E5">
        <w:rPr>
          <w:lang w:val="en-GB"/>
        </w:rPr>
        <w:t>, p.</w:t>
      </w:r>
      <w:r w:rsidR="005C7C76">
        <w:rPr>
          <w:lang w:val="en-GB"/>
        </w:rPr>
        <w:t xml:space="preserve"> 36</w:t>
      </w:r>
      <w:r w:rsidR="005E395F" w:rsidRPr="009D0D16">
        <w:rPr>
          <w:lang w:val="en-GB"/>
        </w:rPr>
        <w:t>).</w:t>
      </w:r>
    </w:p>
    <w:p w14:paraId="5C09138E" w14:textId="49318117" w:rsidR="005E395F" w:rsidRPr="009D0D16" w:rsidRDefault="005E395F" w:rsidP="005E395F">
      <w:pPr>
        <w:ind w:firstLine="720"/>
        <w:rPr>
          <w:lang w:val="en-GB"/>
        </w:rPr>
      </w:pPr>
      <w:r w:rsidRPr="009D0D16">
        <w:rPr>
          <w:lang w:val="en-GB"/>
        </w:rPr>
        <w:t xml:space="preserve">A key challenge is that expected returns are </w:t>
      </w:r>
      <w:r w:rsidR="00CE5F0A">
        <w:rPr>
          <w:lang w:val="en-GB"/>
        </w:rPr>
        <w:t>highly</w:t>
      </w:r>
      <w:r w:rsidRPr="009D0D16">
        <w:rPr>
          <w:lang w:val="en-GB"/>
        </w:rPr>
        <w:t xml:space="preserve"> </w:t>
      </w:r>
      <w:r w:rsidR="00B704A3">
        <w:rPr>
          <w:lang w:val="en-GB"/>
        </w:rPr>
        <w:t>dependent</w:t>
      </w:r>
      <w:r w:rsidRPr="009D0D16">
        <w:rPr>
          <w:lang w:val="en-GB"/>
        </w:rPr>
        <w:t xml:space="preserve"> on </w:t>
      </w:r>
      <w:r w:rsidR="003D7701">
        <w:rPr>
          <w:lang w:val="en-GB"/>
        </w:rPr>
        <w:t>the abundance of quality</w:t>
      </w:r>
      <w:r w:rsidRPr="009D0D16">
        <w:rPr>
          <w:lang w:val="en-GB"/>
        </w:rPr>
        <w:t xml:space="preserve"> </w:t>
      </w:r>
      <w:r w:rsidR="00B17087">
        <w:rPr>
          <w:lang w:val="en-GB"/>
        </w:rPr>
        <w:t>information</w:t>
      </w:r>
      <w:r w:rsidRPr="009D0D16">
        <w:rPr>
          <w:lang w:val="en-GB"/>
        </w:rPr>
        <w:t xml:space="preserve">. Firm characteristics, macroeconomic variables, and their interactions </w:t>
      </w:r>
      <w:r w:rsidR="00BC1D38">
        <w:rPr>
          <w:lang w:val="en-GB"/>
        </w:rPr>
        <w:t>together may</w:t>
      </w:r>
      <w:r w:rsidRPr="009D0D16">
        <w:rPr>
          <w:lang w:val="en-GB"/>
        </w:rPr>
        <w:t xml:space="preserve"> determine both risk exposures and prices of risk. However, </w:t>
      </w:r>
      <w:r w:rsidR="00B026C5">
        <w:rPr>
          <w:lang w:val="en-GB"/>
        </w:rPr>
        <w:t xml:space="preserve">often </w:t>
      </w:r>
      <w:r w:rsidR="00B026C5" w:rsidRPr="009D0D16">
        <w:rPr>
          <w:lang w:val="en-GB"/>
        </w:rPr>
        <w:t>empirical</w:t>
      </w:r>
      <w:r w:rsidRPr="009D0D16">
        <w:rPr>
          <w:lang w:val="en-GB"/>
        </w:rPr>
        <w:t xml:space="preserve"> implementations impose strong restrictions</w:t>
      </w:r>
      <w:r w:rsidR="00B026C5">
        <w:rPr>
          <w:lang w:val="en-GB"/>
        </w:rPr>
        <w:t xml:space="preserve"> on its </w:t>
      </w:r>
      <w:r w:rsidR="00B026C5" w:rsidRPr="009D0D16">
        <w:rPr>
          <w:lang w:val="en-GB"/>
        </w:rPr>
        <w:t>functional form</w:t>
      </w:r>
      <w:r w:rsidRPr="009D0D16">
        <w:rPr>
          <w:lang w:val="en-GB"/>
        </w:rPr>
        <w:t xml:space="preserve">, </w:t>
      </w:r>
      <w:r w:rsidR="00E90389">
        <w:rPr>
          <w:lang w:val="en-GB"/>
        </w:rPr>
        <w:t>such as</w:t>
      </w:r>
      <w:r w:rsidRPr="009D0D16">
        <w:rPr>
          <w:lang w:val="en-GB"/>
        </w:rPr>
        <w:t xml:space="preserve"> </w:t>
      </w:r>
      <w:r w:rsidR="00E90389">
        <w:rPr>
          <w:lang w:val="en-GB"/>
        </w:rPr>
        <w:t xml:space="preserve">the assumption of </w:t>
      </w:r>
      <w:r w:rsidRPr="009D0D16">
        <w:rPr>
          <w:lang w:val="en-GB"/>
        </w:rPr>
        <w:t xml:space="preserve">linearity and low dimensionality. </w:t>
      </w:r>
      <w:r w:rsidR="0061479D">
        <w:rPr>
          <w:lang w:val="en-GB"/>
        </w:rPr>
        <w:t xml:space="preserve">Cochrane (2005) described </w:t>
      </w:r>
      <w:r w:rsidR="002F2D8E">
        <w:rPr>
          <w:lang w:val="en-GB"/>
        </w:rPr>
        <w:t>in “</w:t>
      </w:r>
      <w:r w:rsidR="00CA4219" w:rsidRPr="00CA4219">
        <w:rPr>
          <w:lang w:val="en-GB"/>
        </w:rPr>
        <w:t>20.2 The Cross Section: CAPM and Multifactor Models</w:t>
      </w:r>
      <w:r w:rsidR="00CA4219">
        <w:rPr>
          <w:lang w:val="en-GB"/>
        </w:rPr>
        <w:t>”</w:t>
      </w:r>
      <w:r w:rsidR="009C35F4">
        <w:rPr>
          <w:lang w:val="en-GB"/>
        </w:rPr>
        <w:t xml:space="preserve"> how</w:t>
      </w:r>
      <w:r w:rsidR="00144647">
        <w:rPr>
          <w:lang w:val="en-GB"/>
        </w:rPr>
        <w:t xml:space="preserve"> p</w:t>
      </w:r>
      <w:r w:rsidRPr="009D0D16">
        <w:rPr>
          <w:lang w:val="en-GB"/>
        </w:rPr>
        <w:t xml:space="preserve">oor empirical performance may </w:t>
      </w:r>
      <w:r w:rsidR="0075701E">
        <w:rPr>
          <w:lang w:val="en-GB"/>
        </w:rPr>
        <w:t>emerge from</w:t>
      </w:r>
      <w:r w:rsidRPr="009D0D16">
        <w:rPr>
          <w:lang w:val="en-GB"/>
        </w:rPr>
        <w:t xml:space="preserve"> restrictive </w:t>
      </w:r>
      <w:r w:rsidR="00CF0E40" w:rsidRPr="009D0D16">
        <w:rPr>
          <w:lang w:val="en-GB"/>
        </w:rPr>
        <w:t>modelling</w:t>
      </w:r>
      <w:r w:rsidRPr="009D0D16">
        <w:rPr>
          <w:lang w:val="en-GB"/>
        </w:rPr>
        <w:t xml:space="preserve"> choices rather than fundamental failures of asset pricing theory</w:t>
      </w:r>
      <w:r w:rsidR="00CE3D4F">
        <w:rPr>
          <w:lang w:val="en-GB"/>
        </w:rPr>
        <w:t>.</w:t>
      </w:r>
    </w:p>
    <w:p w14:paraId="634018C2" w14:textId="4D98D726" w:rsidR="005E395F" w:rsidRPr="009D0D16" w:rsidRDefault="005E395F" w:rsidP="005E395F">
      <w:pPr>
        <w:ind w:firstLine="720"/>
        <w:rPr>
          <w:lang w:val="en-GB"/>
        </w:rPr>
      </w:pPr>
      <w:r w:rsidRPr="009D0D16">
        <w:rPr>
          <w:lang w:val="en-GB"/>
        </w:rPr>
        <w:t xml:space="preserve">Gu, Kelly, and Xiu (2020) address this challenge by proposing a general empirical asset pricing framework in which expected returns are </w:t>
      </w:r>
      <w:r w:rsidR="00CF0E40" w:rsidRPr="009D0D16">
        <w:rPr>
          <w:lang w:val="en-GB"/>
        </w:rPr>
        <w:t>modelled</w:t>
      </w:r>
      <w:r w:rsidRPr="009D0D16">
        <w:rPr>
          <w:lang w:val="en-GB"/>
        </w:rPr>
        <w:t xml:space="preserve"> </w:t>
      </w:r>
      <w:r w:rsidR="006D44B8">
        <w:rPr>
          <w:lang w:val="en-GB"/>
        </w:rPr>
        <w:t>via an</w:t>
      </w:r>
      <w:r w:rsidRPr="009D0D16">
        <w:rPr>
          <w:lang w:val="en-GB"/>
        </w:rPr>
        <w:t xml:space="preserve"> unknown conditional pricing function. </w:t>
      </w:r>
      <w:r w:rsidR="009B74FC">
        <w:rPr>
          <w:lang w:val="en-GB"/>
        </w:rPr>
        <w:t xml:space="preserve">Instead of </w:t>
      </w:r>
      <w:r w:rsidR="003F03E6">
        <w:rPr>
          <w:lang w:val="en-GB"/>
        </w:rPr>
        <w:t>exploring</w:t>
      </w:r>
      <w:r w:rsidRPr="009D0D16">
        <w:rPr>
          <w:lang w:val="en-GB"/>
        </w:rPr>
        <w:t xml:space="preserve"> new economic factors, the paper reframes the empirical task as one of </w:t>
      </w:r>
      <w:r w:rsidR="009F07F1">
        <w:rPr>
          <w:lang w:val="en-GB"/>
        </w:rPr>
        <w:t>estimating</w:t>
      </w:r>
      <w:r w:rsidRPr="009D0D16">
        <w:rPr>
          <w:lang w:val="en-GB"/>
        </w:rPr>
        <w:t xml:space="preserve"> this function while preserving the no-arbitrage logic of stochastic discount factor models. </w:t>
      </w:r>
      <w:r w:rsidR="00416E3A">
        <w:rPr>
          <w:lang w:val="en-GB"/>
        </w:rPr>
        <w:t>This way, m</w:t>
      </w:r>
      <w:r w:rsidRPr="009D0D16">
        <w:rPr>
          <w:lang w:val="en-GB"/>
        </w:rPr>
        <w:t>achine learning methods are employed as tools for spanning a rich space of transformations of observable characteristics.</w:t>
      </w:r>
    </w:p>
    <w:p w14:paraId="2D02B314" w14:textId="77777777" w:rsidR="005E395F" w:rsidRPr="009D0D16" w:rsidRDefault="005E395F" w:rsidP="005E395F">
      <w:pPr>
        <w:ind w:firstLine="720"/>
        <w:rPr>
          <w:lang w:val="en-GB"/>
        </w:rPr>
      </w:pPr>
      <w:r w:rsidRPr="009D0D16">
        <w:rPr>
          <w:lang w:val="en-GB"/>
        </w:rPr>
        <w:t xml:space="preserve">The central research question of this review is: </w:t>
      </w:r>
      <w:r w:rsidRPr="009D0D16">
        <w:rPr>
          <w:b/>
          <w:bCs/>
          <w:lang w:val="en-GB"/>
        </w:rPr>
        <w:t>How can empirical asset pricing models approximate the conditional pricing function when expected returns depend on high-dimensional information, and what does this imply for factor models and asset pricing anomalies?</w:t>
      </w:r>
    </w:p>
    <w:p w14:paraId="4CDFCDAB" w14:textId="17816165" w:rsidR="008F2C46" w:rsidRPr="009D0D16" w:rsidRDefault="005E395F" w:rsidP="005E395F">
      <w:pPr>
        <w:ind w:firstLine="720"/>
        <w:rPr>
          <w:lang w:val="en-GB"/>
        </w:rPr>
      </w:pPr>
      <w:r w:rsidRPr="009D0D16">
        <w:rPr>
          <w:lang w:val="en-GB"/>
        </w:rPr>
        <w:lastRenderedPageBreak/>
        <w:t xml:space="preserve">This essay </w:t>
      </w:r>
      <w:r w:rsidR="00673971">
        <w:rPr>
          <w:lang w:val="en-GB"/>
        </w:rPr>
        <w:t>examines</w:t>
      </w:r>
      <w:r w:rsidRPr="009D0D16">
        <w:rPr>
          <w:lang w:val="en-GB"/>
        </w:rPr>
        <w:t xml:space="preserve"> the methodology and findings of Gu, Kelly, and Xiu (2020) within the broader asset pricing literature. Section 2 outlines the asset pricing framework and its relation to stochastic discount factor models. The empirical design and main findings are then discussed and critically evaluated. Finally, the implications for factor models and anomalies are </w:t>
      </w:r>
      <w:r w:rsidR="00453775">
        <w:rPr>
          <w:lang w:val="en-GB"/>
        </w:rPr>
        <w:t>explored</w:t>
      </w:r>
      <w:r w:rsidRPr="009D0D16">
        <w:rPr>
          <w:lang w:val="en-GB"/>
        </w:rPr>
        <w:t xml:space="preserve">, followed by </w:t>
      </w:r>
      <w:r w:rsidR="0009246F">
        <w:rPr>
          <w:lang w:val="en-GB"/>
        </w:rPr>
        <w:t>finishing</w:t>
      </w:r>
      <w:r w:rsidRPr="009D0D16">
        <w:rPr>
          <w:lang w:val="en-GB"/>
        </w:rPr>
        <w:t xml:space="preserve"> remarks and scope for further empirical analysis.</w:t>
      </w:r>
    </w:p>
    <w:p w14:paraId="11833BDC" w14:textId="34C37A76" w:rsidR="00991087" w:rsidRPr="009D0D16" w:rsidRDefault="002D26A8" w:rsidP="003E05D5">
      <w:pPr>
        <w:pStyle w:val="Heading1"/>
        <w:rPr>
          <w:rFonts w:cs="Times New Roman"/>
        </w:rPr>
      </w:pPr>
      <w:r w:rsidRPr="009D0D16">
        <w:rPr>
          <w:rFonts w:cs="Times New Roman"/>
        </w:rPr>
        <w:t>2. Asset Pricing Framework and Methodolog</w:t>
      </w:r>
      <w:r w:rsidR="00327EF1">
        <w:rPr>
          <w:rFonts w:cs="Times New Roman"/>
        </w:rPr>
        <w:t>y</w:t>
      </w:r>
    </w:p>
    <w:p w14:paraId="696ABDF9" w14:textId="17B605B4" w:rsidR="008F6380" w:rsidRPr="009D0D16" w:rsidRDefault="008F6380" w:rsidP="000C567E">
      <w:pPr>
        <w:pStyle w:val="Heading2"/>
      </w:pPr>
      <w:r w:rsidRPr="009D0D16">
        <w:t>2.1 Expected Returns and the Stochastic Discount Factor</w:t>
      </w:r>
    </w:p>
    <w:p w14:paraId="3E962019" w14:textId="038F98C0" w:rsidR="00B144F1" w:rsidRPr="009D0D16" w:rsidRDefault="00B144F1" w:rsidP="00B144F1">
      <w:pPr>
        <w:ind w:firstLine="720"/>
        <w:rPr>
          <w:lang w:val="en-GB"/>
        </w:rPr>
      </w:pPr>
      <w:r w:rsidRPr="009D0D16">
        <w:rPr>
          <w:lang w:val="en-GB"/>
        </w:rPr>
        <w:t>Modern asset pricing theory is built around the existence of a stochastic discount factor</w:t>
      </w:r>
      <w:r w:rsidR="001B0AF8">
        <w:rPr>
          <w:lang w:val="en-GB"/>
        </w:rPr>
        <w:t xml:space="preserve"> </w:t>
      </w:r>
      <w:r w:rsidRPr="009D0D16">
        <w:rPr>
          <w:lang w:val="en-GB"/>
        </w:rPr>
        <w:t xml:space="preserve">that prices all assets in the economy. For any asset </w:t>
      </w:r>
      <m:oMath>
        <m:r>
          <w:rPr>
            <w:rFonts w:ascii="Cambria Math" w:hAnsi="Cambria Math"/>
            <w:lang w:val="en-GB"/>
          </w:rPr>
          <m:t>i</m:t>
        </m:r>
      </m:oMath>
      <w:r w:rsidRPr="009D0D16">
        <w:rPr>
          <w:lang w:val="en-GB"/>
        </w:rPr>
        <w:t xml:space="preserve">, excess returns satisfy the no-arbitrage condition </w:t>
      </w:r>
      <m:oMath>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rPr>
                </m:ctrlPr>
              </m:sSubPr>
              <m:e>
                <m:r>
                  <w:rPr>
                    <w:rFonts w:ascii="Cambria Math" w:hAnsi="Cambria Math"/>
                    <w:lang w:val="en-GB"/>
                  </w:rPr>
                  <m:t>m</m:t>
                </m:r>
                <m:ctrlPr>
                  <w:rPr>
                    <w:rFonts w:ascii="Cambria Math" w:hAnsi="Cambria Math"/>
                    <w:i/>
                    <w:lang w:val="en-GB"/>
                  </w:rPr>
                </m:ctrlPr>
              </m:e>
              <m:sub>
                <m:r>
                  <w:rPr>
                    <w:rFonts w:ascii="Cambria Math" w:hAnsi="Cambria Math"/>
                    <w:lang w:val="en-GB"/>
                  </w:rPr>
                  <m:t>t+1</m:t>
                </m:r>
              </m:sub>
            </m:sSub>
            <m:sSub>
              <m:sSubPr>
                <m:ctrlPr>
                  <w:rPr>
                    <w:rFonts w:ascii="Cambria Math" w:hAnsi="Cambria Math"/>
                    <w:i/>
                    <w:lang w:val="en-GB"/>
                  </w:rPr>
                </m:ctrlPr>
              </m:sSubPr>
              <m:e>
                <m:r>
                  <w:rPr>
                    <w:rFonts w:ascii="Cambria Math" w:hAnsi="Cambria Math"/>
                    <w:lang w:val="en-GB"/>
                  </w:rPr>
                  <m:t>r</m:t>
                </m:r>
                <m:ctrlPr>
                  <w:rPr>
                    <w:rFonts w:ascii="Cambria Math" w:hAnsi="Cambria Math"/>
                    <w:i/>
                    <w:iCs/>
                    <w:lang w:val="en-GB"/>
                  </w:rPr>
                </m:ctrlPr>
              </m:e>
              <m:sub>
                <m:r>
                  <w:rPr>
                    <w:rFonts w:ascii="Cambria Math" w:hAnsi="Cambria Math"/>
                    <w:lang w:val="en-GB"/>
                  </w:rPr>
                  <m:t>i,t+1</m:t>
                </m:r>
              </m:sub>
            </m:sSub>
          </m:e>
          <m:e>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m:t>
                </m:r>
              </m:sub>
            </m:sSub>
          </m:e>
        </m:d>
        <m:r>
          <w:rPr>
            <w:rFonts w:ascii="Cambria Math" w:hAnsi="Cambria Math"/>
            <w:lang w:val="en-GB"/>
          </w:rPr>
          <m:t>=0</m:t>
        </m:r>
      </m:oMath>
      <w:r w:rsidRPr="009D0D16">
        <w:rPr>
          <w:lang w:val="en-GB"/>
        </w:rPr>
        <w:t xml:space="preserve">, where </w:t>
      </w:r>
      <m:oMath>
        <m:sSub>
          <m:sSubPr>
            <m:ctrlPr>
              <w:rPr>
                <w:rFonts w:ascii="Cambria Math" w:hAnsi="Cambria Math"/>
                <w:i/>
              </w:rPr>
            </m:ctrlPr>
          </m:sSubPr>
          <m:e>
            <m:r>
              <w:rPr>
                <w:rFonts w:ascii="Cambria Math" w:hAnsi="Cambria Math"/>
                <w:lang w:val="en-GB"/>
              </w:rPr>
              <m:t>m</m:t>
            </m:r>
            <m:ctrlPr>
              <w:rPr>
                <w:rFonts w:ascii="Cambria Math" w:hAnsi="Cambria Math"/>
                <w:i/>
                <w:lang w:val="en-GB"/>
              </w:rPr>
            </m:ctrlPr>
          </m:e>
          <m:sub>
            <m:r>
              <w:rPr>
                <w:rFonts w:ascii="Cambria Math" w:hAnsi="Cambria Math"/>
                <w:lang w:val="en-GB"/>
              </w:rPr>
              <m:t>t+1</m:t>
            </m:r>
          </m:sub>
        </m:sSub>
      </m:oMath>
      <w:r w:rsidRPr="009D0D16">
        <w:rPr>
          <w:rFonts w:eastAsiaTheme="minorEastAsia"/>
        </w:rPr>
        <w:t xml:space="preserve"> </w:t>
      </w:r>
      <w:r w:rsidRPr="009D0D16">
        <w:rPr>
          <w:lang w:val="en-GB"/>
        </w:rPr>
        <w:t xml:space="preserve">denotes the SDF and </w:t>
      </w:r>
      <m:oMath>
        <m:sSub>
          <m:sSubPr>
            <m:ctrlPr>
              <w:rPr>
                <w:rFonts w:ascii="Cambria Math" w:hAnsi="Cambria Math"/>
                <w:i/>
                <w:lang w:val="en-GB"/>
              </w:rPr>
            </m:ctrlPr>
          </m:sSubPr>
          <m:e>
            <m:r>
              <w:rPr>
                <w:rFonts w:ascii="Cambria Math" w:hAnsi="Cambria Math"/>
                <w:lang w:val="en-GB"/>
              </w:rPr>
              <m:t>F</m:t>
            </m:r>
          </m:e>
          <m:sub>
            <m:r>
              <w:rPr>
                <w:rFonts w:ascii="Cambria Math" w:hAnsi="Cambria Math"/>
                <w:lang w:val="en-GB"/>
              </w:rPr>
              <m:t>t</m:t>
            </m:r>
          </m:sub>
        </m:sSub>
      </m:oMath>
      <w:r w:rsidRPr="009D0D16">
        <w:rPr>
          <w:rFonts w:eastAsiaTheme="minorEastAsia"/>
          <w:lang w:val="en-GB"/>
        </w:rPr>
        <w:t xml:space="preserve"> </w:t>
      </w:r>
      <w:r w:rsidRPr="009D0D16">
        <w:rPr>
          <w:lang w:val="en-GB"/>
        </w:rPr>
        <w:t xml:space="preserve">represents the information set available at time </w:t>
      </w:r>
      <m:oMath>
        <m:r>
          <w:rPr>
            <w:rFonts w:ascii="Cambria Math" w:hAnsi="Cambria Math"/>
            <w:lang w:val="en-GB"/>
          </w:rPr>
          <m:t>t</m:t>
        </m:r>
      </m:oMath>
      <w:r w:rsidRPr="009D0D16">
        <w:rPr>
          <w:lang w:val="en-GB"/>
        </w:rPr>
        <w:t xml:space="preserve">. </w:t>
      </w:r>
      <w:r w:rsidR="00DB51E7" w:rsidRPr="00DB51E7">
        <w:rPr>
          <w:lang w:val="en-GB"/>
        </w:rPr>
        <w:t xml:space="preserve">Under standard regularity conditions, this restriction implies that expected excess returns can be expressed as </w:t>
      </w:r>
      <w:r w:rsidR="00DB51E7" w:rsidRPr="00DB51E7">
        <w:rPr>
          <w:lang w:val="en-GB"/>
        </w:rPr>
        <w:t>functions</w:t>
      </w:r>
      <w:r w:rsidR="00DB51E7" w:rsidRPr="00DB51E7">
        <w:rPr>
          <w:lang w:val="en-GB"/>
        </w:rPr>
        <w:t xml:space="preserve"> of conditional covariances between returns and the SDF. </w:t>
      </w:r>
      <w:r w:rsidR="000672B8">
        <w:rPr>
          <w:lang w:val="en-GB"/>
        </w:rPr>
        <w:t>However</w:t>
      </w:r>
      <w:r w:rsidR="00DB51E7" w:rsidRPr="00DB51E7">
        <w:rPr>
          <w:lang w:val="en-GB"/>
        </w:rPr>
        <w:t>, the SDF is unobserved</w:t>
      </w:r>
      <w:r w:rsidR="000672B8">
        <w:rPr>
          <w:lang w:val="en-GB"/>
        </w:rPr>
        <w:t xml:space="preserve"> </w:t>
      </w:r>
      <w:r w:rsidR="00B0213A">
        <w:rPr>
          <w:lang w:val="en-GB"/>
        </w:rPr>
        <w:t>in empirical settings</w:t>
      </w:r>
      <w:r w:rsidR="00DB51E7" w:rsidRPr="00DB51E7">
        <w:rPr>
          <w:lang w:val="en-GB"/>
        </w:rPr>
        <w:t xml:space="preserve">, and asset pricing tests are typically conducted by </w:t>
      </w:r>
      <w:r w:rsidR="00DB51E7" w:rsidRPr="00DB51E7">
        <w:rPr>
          <w:lang w:val="en-GB"/>
        </w:rPr>
        <w:t>modelling</w:t>
      </w:r>
      <w:r w:rsidR="00DB51E7" w:rsidRPr="00DB51E7">
        <w:rPr>
          <w:lang w:val="en-GB"/>
        </w:rPr>
        <w:t xml:space="preserve"> expected returns directly as conditional expectations</w:t>
      </w:r>
      <w:r w:rsidR="00DB51E7">
        <w:rPr>
          <w:lang w:val="en-GB"/>
        </w:rPr>
        <w:t xml:space="preserve"> (</w:t>
      </w:r>
      <w:r w:rsidR="0021083E">
        <w:rPr>
          <w:lang w:val="en-GB"/>
        </w:rPr>
        <w:t>Cochrane</w:t>
      </w:r>
      <w:r w:rsidR="00DB51E7">
        <w:rPr>
          <w:lang w:val="en-GB"/>
        </w:rPr>
        <w:t xml:space="preserve">, </w:t>
      </w:r>
      <w:r w:rsidR="0021083E">
        <w:rPr>
          <w:lang w:val="en-GB"/>
        </w:rPr>
        <w:t>2005</w:t>
      </w:r>
      <w:r w:rsidR="007640C5">
        <w:rPr>
          <w:lang w:val="en-GB"/>
        </w:rPr>
        <w:t xml:space="preserve">, </w:t>
      </w:r>
      <w:r w:rsidR="00DB51E7">
        <w:rPr>
          <w:lang w:val="en-GB"/>
        </w:rPr>
        <w:t>Ch.1</w:t>
      </w:r>
      <w:r w:rsidR="003C7F56">
        <w:rPr>
          <w:lang w:val="en-GB"/>
        </w:rPr>
        <w:t xml:space="preserve"> &amp; Ch.6</w:t>
      </w:r>
      <w:r w:rsidR="0021083E">
        <w:rPr>
          <w:lang w:val="en-GB"/>
        </w:rPr>
        <w:t>)</w:t>
      </w:r>
      <w:r w:rsidR="00DB51E7">
        <w:rPr>
          <w:lang w:val="en-GB"/>
        </w:rPr>
        <w:t>.</w:t>
      </w:r>
    </w:p>
    <w:p w14:paraId="520FAC5B" w14:textId="4D19BB61" w:rsidR="00AF6D01" w:rsidRPr="009D0D16" w:rsidRDefault="00B144F1" w:rsidP="00B144F1">
      <w:pPr>
        <w:ind w:firstLine="720"/>
        <w:rPr>
          <w:lang w:val="en-GB"/>
        </w:rPr>
      </w:pPr>
      <w:r w:rsidRPr="009D0D16">
        <w:rPr>
          <w:lang w:val="en-GB"/>
        </w:rPr>
        <w:t>Gu, Kelly, and Xiu (2020) adopt this empirical perspective by focusing on the conditional mean of excess returns</w:t>
      </w:r>
      <w:r w:rsidR="00503B1A" w:rsidRPr="009D0D16">
        <w:rPr>
          <w:lang w:val="en-GB"/>
        </w:rPr>
        <w:t xml:space="preserve"> </w:t>
      </w:r>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i,t+1</m:t>
            </m:r>
          </m:sub>
        </m:sSub>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iCs/>
                    <w:lang w:val="en-GB"/>
                  </w:rPr>
                </m:ctrlPr>
              </m:sSubPr>
              <m:e>
                <m:r>
                  <w:rPr>
                    <w:rFonts w:ascii="Cambria Math" w:hAnsi="Cambria Math"/>
                    <w:lang w:val="en-GB"/>
                  </w:rPr>
                  <m:t>r</m:t>
                </m:r>
              </m:e>
              <m:sub>
                <m:r>
                  <w:rPr>
                    <w:rFonts w:ascii="Cambria Math" w:hAnsi="Cambria Math"/>
                    <w:lang w:val="en-GB"/>
                  </w:rPr>
                  <m:t>i,t+1</m:t>
                </m:r>
              </m:sub>
            </m:sSub>
          </m:e>
          <m:e>
            <m:sSub>
              <m:sSubPr>
                <m:ctrlPr>
                  <w:rPr>
                    <w:rFonts w:ascii="Cambria Math" w:hAnsi="Cambria Math"/>
                    <w:i/>
                    <w:lang w:val="en-GB"/>
                  </w:rPr>
                </m:ctrlPr>
              </m:sSubPr>
              <m:e>
                <m:r>
                  <w:rPr>
                    <w:rFonts w:ascii="Cambria Math" w:hAnsi="Cambria Math"/>
                    <w:lang w:val="en-GB"/>
                  </w:rPr>
                  <m:t>F</m:t>
                </m:r>
                <m:ctrlPr>
                  <w:rPr>
                    <w:rFonts w:ascii="Cambria Math" w:hAnsi="Cambria Math"/>
                    <w:i/>
                    <w:iCs/>
                    <w:lang w:val="en-GB"/>
                  </w:rPr>
                </m:ctrlPr>
              </m:e>
              <m:sub>
                <m:r>
                  <w:rPr>
                    <w:rFonts w:ascii="Cambria Math" w:hAnsi="Cambria Math"/>
                    <w:lang w:val="en-GB"/>
                  </w:rPr>
                  <m:t>t</m:t>
                </m:r>
              </m:sub>
            </m:sSub>
          </m:e>
        </m:d>
        <m:r>
          <w:rPr>
            <w:rFonts w:ascii="Cambria Math" w:hAnsi="Cambria Math"/>
            <w:lang w:val="en-GB"/>
          </w:rPr>
          <m:t>+</m:t>
        </m:r>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i,t+1</m:t>
            </m:r>
          </m:sub>
        </m:sSub>
      </m:oMath>
      <w:r w:rsidRPr="009D0D16">
        <w:rPr>
          <w:lang w:val="en-GB"/>
        </w:rPr>
        <w:t xml:space="preserve">, where </w:t>
      </w:r>
      <m:oMath>
        <m:r>
          <w:rPr>
            <w:rFonts w:ascii="Cambria Math" w:hAnsi="Cambria Math"/>
            <w:lang w:val="en-GB"/>
          </w:rPr>
          <m:t>E</m:t>
        </m:r>
        <m:d>
          <m:dPr>
            <m:begChr m:val="["/>
            <m:endChr m:val="]"/>
            <m:ctrlPr>
              <w:rPr>
                <w:rFonts w:ascii="Cambria Math" w:hAnsi="Cambria Math"/>
                <w:i/>
                <w:lang w:val="en-GB"/>
              </w:rPr>
            </m:ctrlPr>
          </m:dPr>
          <m:e>
            <m:sSub>
              <m:sSubPr>
                <m:ctrlPr>
                  <w:rPr>
                    <w:rFonts w:ascii="Cambria Math" w:hAnsi="Cambria Math"/>
                    <w:i/>
                    <w:lang w:val="en-GB"/>
                  </w:rPr>
                </m:ctrlPr>
              </m:sSubPr>
              <m:e>
                <m:r>
                  <w:rPr>
                    <w:rFonts w:ascii="Cambria Math" w:hAnsi="Cambria Math"/>
                    <w:lang w:val="en-GB"/>
                  </w:rPr>
                  <m:t>ε</m:t>
                </m:r>
              </m:e>
              <m:sub>
                <m:r>
                  <w:rPr>
                    <w:rFonts w:ascii="Cambria Math" w:hAnsi="Cambria Math"/>
                    <w:lang w:val="en-GB"/>
                  </w:rPr>
                  <m:t>i,t+1</m:t>
                </m:r>
              </m:sub>
            </m:sSub>
            <m:r>
              <m:rPr>
                <m:sty m:val="p"/>
              </m:rPr>
              <w:rPr>
                <w:rFonts w:ascii="Cambria Math" w:hAnsi="Cambria Math"/>
                <w:lang w:val="en-GB"/>
              </w:rPr>
              <m:t>,</m:t>
            </m:r>
          </m:e>
          <m:e>
            <m:sSub>
              <m:sSubPr>
                <m:ctrlPr>
                  <w:rPr>
                    <w:rFonts w:ascii="Cambria Math" w:hAnsi="Cambria Math"/>
                    <w:i/>
                    <w:lang w:val="en-GB"/>
                  </w:rPr>
                </m:ctrlPr>
              </m:sSubPr>
              <m:e>
                <m:r>
                  <w:rPr>
                    <w:rFonts w:ascii="Cambria Math" w:hAnsi="Cambria Math"/>
                    <w:lang w:val="en-GB"/>
                  </w:rPr>
                  <m:t>F</m:t>
                </m:r>
                <m:ctrlPr>
                  <w:rPr>
                    <w:rFonts w:ascii="Cambria Math" w:hAnsi="Cambria Math"/>
                    <w:i/>
                    <w:iCs/>
                    <w:lang w:val="en-GB"/>
                  </w:rPr>
                </m:ctrlPr>
              </m:e>
              <m:sub>
                <m:r>
                  <w:rPr>
                    <w:rFonts w:ascii="Cambria Math" w:hAnsi="Cambria Math"/>
                    <w:lang w:val="en-GB"/>
                  </w:rPr>
                  <m:t>t</m:t>
                </m:r>
              </m:sub>
            </m:sSub>
          </m:e>
        </m:d>
        <m:r>
          <w:rPr>
            <w:rFonts w:ascii="Cambria Math" w:hAnsi="Cambria Math"/>
            <w:lang w:val="en-GB"/>
          </w:rPr>
          <m:t>=0</m:t>
        </m:r>
      </m:oMath>
      <w:r w:rsidRPr="009D0D16">
        <w:rPr>
          <w:lang w:val="en-GB"/>
        </w:rPr>
        <w:t>. This decomposition emphasizes that asset pricing models explain expected returns rather than realized outcomes.</w:t>
      </w:r>
      <w:r w:rsidR="005B5BEE">
        <w:rPr>
          <w:lang w:val="en-GB"/>
        </w:rPr>
        <w:t xml:space="preserve"> Approaching empirical asset pricing from</w:t>
      </w:r>
      <w:r w:rsidR="00B511A7">
        <w:rPr>
          <w:lang w:val="en-GB"/>
        </w:rPr>
        <w:t xml:space="preserve"> this formulation</w:t>
      </w:r>
      <w:r w:rsidR="005B5BEE">
        <w:rPr>
          <w:lang w:val="en-GB"/>
        </w:rPr>
        <w:t xml:space="preserve"> shows that</w:t>
      </w:r>
      <w:r w:rsidRPr="009D0D16">
        <w:rPr>
          <w:lang w:val="en-GB"/>
        </w:rPr>
        <w:t xml:space="preserve"> pricing errors arise from misspecification of the conditional expectation</w:t>
      </w:r>
      <w:r w:rsidR="00250C4B">
        <w:rPr>
          <w:lang w:val="en-GB"/>
        </w:rPr>
        <w:t xml:space="preserve">, and </w:t>
      </w:r>
      <w:r w:rsidRPr="009D0D16">
        <w:rPr>
          <w:lang w:val="en-GB"/>
        </w:rPr>
        <w:t>not from predictable innovations or violations of no-arbitrage restrictions.</w:t>
      </w:r>
      <w:r w:rsidR="00250C4B">
        <w:rPr>
          <w:lang w:val="en-GB"/>
        </w:rPr>
        <w:t xml:space="preserve"> </w:t>
      </w:r>
    </w:p>
    <w:p w14:paraId="38E5D22D" w14:textId="6D1679B4" w:rsidR="00605425" w:rsidRPr="009D0D16" w:rsidRDefault="00605425" w:rsidP="00605425">
      <w:pPr>
        <w:pStyle w:val="Heading2"/>
      </w:pPr>
      <w:r w:rsidRPr="009D0D16">
        <w:t xml:space="preserve">2.2 </w:t>
      </w:r>
      <w:r w:rsidR="001204D9" w:rsidRPr="009D0D16">
        <w:t>Conditional Pricing Function and Relation to Factor Models</w:t>
      </w:r>
    </w:p>
    <w:p w14:paraId="1C8F38D7" w14:textId="430B6F67" w:rsidR="00292473" w:rsidRPr="009D0D16" w:rsidRDefault="000766E6" w:rsidP="00785A0F">
      <w:pPr>
        <w:ind w:firstLine="720"/>
      </w:pPr>
      <w:r w:rsidRPr="009D0D16">
        <w:t xml:space="preserve">The </w:t>
      </w:r>
      <w:r w:rsidR="004D26D3">
        <w:t>main</w:t>
      </w:r>
      <w:r w:rsidRPr="009D0D16">
        <w:t xml:space="preserve"> methodological contribution is to formalize empirical asset pricing as </w:t>
      </w:r>
      <w:r w:rsidR="00FC0A18">
        <w:t>a</w:t>
      </w:r>
      <w:r w:rsidRPr="009D0D16">
        <w:t xml:space="preserve"> problem of approximating an unknown conditional pricing function. Expected excess returns </w:t>
      </w:r>
      <w:r w:rsidR="00FC0A18">
        <w:t>can then be expressed as</w:t>
      </w:r>
      <w:r w:rsidR="007B69CE" w:rsidRPr="009D0D16">
        <w:t xml:space="preserve"> </w:t>
      </w:r>
      <m:oMath>
        <m:r>
          <w:rPr>
            <w:rFonts w:ascii="Cambria Math" w:hAnsi="Cambria Math"/>
          </w:rPr>
          <m:t>E</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r</m:t>
                </m:r>
              </m:e>
              <m:sub>
                <m:r>
                  <w:rPr>
                    <w:rFonts w:ascii="Cambria Math" w:hAnsi="Cambria Math"/>
                  </w:rPr>
                  <m:t>i,t+1</m:t>
                </m:r>
              </m:sub>
            </m:sSub>
            <m:ctrlPr>
              <w:rPr>
                <w:rFonts w:ascii="Cambria Math" w:eastAsia="MS Gothic" w:hAnsi="Cambria Math"/>
              </w:rPr>
            </m:ctrlPr>
          </m:e>
          <m:e>
            <m:sSub>
              <m:sSubPr>
                <m:ctrlPr>
                  <w:rPr>
                    <w:rFonts w:ascii="Cambria Math" w:hAnsi="Cambria Math"/>
                  </w:rPr>
                </m:ctrlPr>
              </m:sSubPr>
              <m:e>
                <m:r>
                  <w:rPr>
                    <w:rFonts w:ascii="Cambria Math" w:hAnsi="Cambria Math"/>
                  </w:rPr>
                  <m:t>F</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i,t</m:t>
                </m:r>
              </m:sub>
            </m:sSub>
          </m:e>
        </m:d>
      </m:oMath>
      <w:r w:rsidR="00152D17" w:rsidRPr="009D0D16">
        <w:rPr>
          <w:rFonts w:eastAsiaTheme="minorEastAsia"/>
        </w:rPr>
        <w:t>,</w:t>
      </w:r>
      <w:r w:rsidR="00292473" w:rsidRPr="009D0D16">
        <w:rPr>
          <w:rFonts w:eastAsiaTheme="minorEastAsia"/>
        </w:rPr>
        <w:t xml:space="preserve"> where </w:t>
      </w:r>
      <m:oMath>
        <m:sSub>
          <m:sSubPr>
            <m:ctrlPr>
              <w:rPr>
                <w:rFonts w:ascii="Cambria Math" w:hAnsi="Cambria Math"/>
              </w:rPr>
            </m:ctrlPr>
          </m:sSubPr>
          <m:e>
            <m:r>
              <w:rPr>
                <w:rFonts w:ascii="Cambria Math" w:hAnsi="Cambria Math"/>
              </w:rPr>
              <m:t>z</m:t>
            </m:r>
          </m:e>
          <m:sub>
            <m:r>
              <w:rPr>
                <w:rFonts w:ascii="Cambria Math" w:hAnsi="Cambria Math"/>
              </w:rPr>
              <m:t>i</m:t>
            </m:r>
            <m:r>
              <m:rPr>
                <m:sty m:val="p"/>
              </m:rPr>
              <w:rPr>
                <w:rFonts w:ascii="Cambria Math" w:hAnsi="Cambria Math"/>
              </w:rPr>
              <m:t>,</m:t>
            </m:r>
            <m:r>
              <w:rPr>
                <w:rFonts w:ascii="Cambria Math" w:hAnsi="Cambria Math"/>
              </w:rPr>
              <m:t>t</m:t>
            </m:r>
          </m:sub>
        </m:sSub>
      </m:oMath>
      <w:r w:rsidR="00292473" w:rsidRPr="009D0D16">
        <w:rPr>
          <w:rFonts w:eastAsiaTheme="minorEastAsia"/>
          <w:lang w:val="en-GB"/>
        </w:rPr>
        <w:t xml:space="preserve"> denotes the observable information set constructed as </w:t>
      </w:r>
      <m:oMath>
        <m:sSub>
          <m:sSubPr>
            <m:ctrlPr>
              <w:rPr>
                <w:rFonts w:ascii="Cambria Math" w:hAnsi="Cambria Math"/>
                <w:i/>
              </w:rPr>
            </m:ctrlPr>
          </m:sSubPr>
          <m:e>
            <m:r>
              <w:rPr>
                <w:rFonts w:ascii="Cambria Math" w:hAnsi="Cambria Math"/>
              </w:rPr>
              <m:t>z</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i,t</m:t>
            </m:r>
          </m:sub>
        </m:sSub>
      </m:oMath>
      <w:r w:rsidR="00292473" w:rsidRPr="009D0D16">
        <w:rPr>
          <w:rFonts w:eastAsiaTheme="minorEastAsia"/>
        </w:rPr>
        <w:t>.</w:t>
      </w:r>
      <w:r w:rsidR="00785A0F" w:rsidRPr="009D0D16">
        <w:t xml:space="preserve"> </w:t>
      </w:r>
      <w:r w:rsidR="00292473" w:rsidRPr="009D0D16">
        <w:rPr>
          <w:rFonts w:eastAsiaTheme="minorEastAsia"/>
          <w:lang w:val="en-GB"/>
        </w:rPr>
        <w:t xml:space="preserve">Here, </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i,t</m:t>
            </m:r>
          </m:sub>
        </m:sSub>
      </m:oMath>
      <w:r w:rsidR="00292473" w:rsidRPr="009D0D16">
        <w:rPr>
          <w:rFonts w:eastAsiaTheme="minorEastAsia"/>
          <w:lang w:val="en-GB"/>
        </w:rPr>
        <w:t xml:space="preserve"> includes firm characteristics such as size, momentum, and valuation ratios, while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292473" w:rsidRPr="009D0D16">
        <w:rPr>
          <w:rFonts w:eastAsiaTheme="minorEastAsia"/>
          <w:lang w:val="en-GB"/>
        </w:rPr>
        <w:t xml:space="preserve"> captures macroeconomic conditions. This structure reflects the </w:t>
      </w:r>
      <w:r w:rsidR="00292473" w:rsidRPr="009D0D16">
        <w:rPr>
          <w:rFonts w:eastAsiaTheme="minorEastAsia"/>
          <w:lang w:val="en-GB"/>
        </w:rPr>
        <w:lastRenderedPageBreak/>
        <w:t xml:space="preserve">economic intuition that firm characteristics </w:t>
      </w:r>
      <w:r w:rsidR="00853939">
        <w:rPr>
          <w:rFonts w:eastAsiaTheme="minorEastAsia"/>
          <w:lang w:val="en-GB"/>
        </w:rPr>
        <w:t xml:space="preserve">act as a </w:t>
      </w:r>
      <w:r w:rsidR="00292473" w:rsidRPr="009D0D16">
        <w:rPr>
          <w:rFonts w:eastAsiaTheme="minorEastAsia"/>
          <w:lang w:val="en-GB"/>
        </w:rPr>
        <w:t xml:space="preserve">proxy for time-varying risk exposures, while macroeconomic variables capture </w:t>
      </w:r>
      <w:r w:rsidR="00853939">
        <w:rPr>
          <w:rFonts w:eastAsiaTheme="minorEastAsia"/>
          <w:lang w:val="en-GB"/>
        </w:rPr>
        <w:t xml:space="preserve">the </w:t>
      </w:r>
      <w:r w:rsidR="00292473" w:rsidRPr="009D0D16">
        <w:rPr>
          <w:rFonts w:eastAsiaTheme="minorEastAsia"/>
          <w:lang w:val="en-GB"/>
        </w:rPr>
        <w:t>time variation in prices of risk.</w:t>
      </w:r>
    </w:p>
    <w:p w14:paraId="3D8448D4" w14:textId="2C3309A5" w:rsidR="00292473" w:rsidRPr="009D0D16" w:rsidRDefault="00292473" w:rsidP="00785A0F">
      <w:pPr>
        <w:ind w:firstLine="720"/>
        <w:rPr>
          <w:rFonts w:eastAsiaTheme="minorEastAsia"/>
          <w:lang w:val="en-GB"/>
        </w:rPr>
      </w:pPr>
      <w:r w:rsidRPr="009D0D16">
        <w:rPr>
          <w:rFonts w:eastAsiaTheme="minorEastAsia"/>
          <w:lang w:val="en-GB"/>
        </w:rPr>
        <w:t xml:space="preserve">Although the framework allows for flexible pricing functions, it remains grounded in standard asset pricing logic. </w:t>
      </w:r>
      <w:r w:rsidR="001727C2">
        <w:rPr>
          <w:rFonts w:eastAsiaTheme="minorEastAsia"/>
          <w:lang w:val="en-GB"/>
        </w:rPr>
        <w:t>Since c</w:t>
      </w:r>
      <w:r w:rsidRPr="009D0D16">
        <w:rPr>
          <w:rFonts w:eastAsiaTheme="minorEastAsia"/>
          <w:lang w:val="en-GB"/>
        </w:rPr>
        <w:t>onditional expectations are linear operators,</w:t>
      </w:r>
      <w:r w:rsidR="001727C2">
        <w:rPr>
          <w:rFonts w:eastAsiaTheme="minorEastAsia"/>
          <w:lang w:val="en-GB"/>
        </w:rPr>
        <w:t xml:space="preserve"> this</w:t>
      </w:r>
      <w:r w:rsidRPr="009D0D16">
        <w:rPr>
          <w:rFonts w:eastAsiaTheme="minorEastAsia"/>
          <w:lang w:val="en-GB"/>
        </w:rPr>
        <w:t xml:space="preserve"> </w:t>
      </w:r>
      <w:r w:rsidR="00BA420F">
        <w:rPr>
          <w:rFonts w:eastAsiaTheme="minorEastAsia"/>
          <w:lang w:val="en-GB"/>
        </w:rPr>
        <w:t>implies</w:t>
      </w:r>
      <w:r w:rsidRPr="009D0D16">
        <w:rPr>
          <w:rFonts w:eastAsiaTheme="minorEastAsia"/>
          <w:lang w:val="en-GB"/>
        </w:rPr>
        <w:t xml:space="preserve"> that any admissible pricing function can be represented as a linear </w:t>
      </w:r>
      <w:r w:rsidR="003A73F2">
        <w:rPr>
          <w:rFonts w:eastAsiaTheme="minorEastAsia"/>
          <w:lang w:val="en-GB"/>
        </w:rPr>
        <w:t>combination</w:t>
      </w:r>
      <w:r w:rsidRPr="009D0D16">
        <w:rPr>
          <w:rFonts w:eastAsiaTheme="minorEastAsia"/>
          <w:lang w:val="en-GB"/>
        </w:rPr>
        <w:t xml:space="preserve"> </w:t>
      </w:r>
      <w:r w:rsidR="00BA420F">
        <w:rPr>
          <w:rFonts w:eastAsiaTheme="minorEastAsia"/>
          <w:lang w:val="en-GB"/>
        </w:rPr>
        <w:t xml:space="preserve">of </w:t>
      </w:r>
      <w:r w:rsidR="003A73F2">
        <w:rPr>
          <w:rFonts w:eastAsiaTheme="minorEastAsia"/>
          <w:lang w:val="en-GB"/>
        </w:rPr>
        <w:t>enhanced transformation of the features</w:t>
      </w:r>
      <w:r w:rsidRPr="009D0D16">
        <w:rPr>
          <w:rFonts w:eastAsiaTheme="minorEastAsia"/>
          <w:lang w:val="en-GB"/>
        </w:rPr>
        <w:t xml:space="preserve">. </w:t>
      </w:r>
      <w:r w:rsidR="003A73F2">
        <w:rPr>
          <w:rFonts w:eastAsiaTheme="minorEastAsia"/>
          <w:lang w:val="en-GB"/>
        </w:rPr>
        <w:t>When n</w:t>
      </w:r>
      <w:r w:rsidRPr="009D0D16">
        <w:rPr>
          <w:rFonts w:eastAsiaTheme="minorEastAsia"/>
          <w:lang w:val="en-GB"/>
        </w:rPr>
        <w:t xml:space="preserve">onlinearity </w:t>
      </w:r>
      <w:r w:rsidR="00B3321B">
        <w:rPr>
          <w:rFonts w:eastAsiaTheme="minorEastAsia"/>
          <w:lang w:val="en-GB"/>
        </w:rPr>
        <w:t xml:space="preserve">is discussed regarding </w:t>
      </w:r>
      <w:r w:rsidRPr="009D0D16">
        <w:rPr>
          <w:rFonts w:eastAsiaTheme="minorEastAsia"/>
          <w:lang w:val="en-GB"/>
        </w:rPr>
        <w:t>expected returns</w:t>
      </w:r>
      <w:r w:rsidR="003A73F2">
        <w:rPr>
          <w:rFonts w:eastAsiaTheme="minorEastAsia"/>
          <w:lang w:val="en-GB"/>
        </w:rPr>
        <w:t xml:space="preserve">, </w:t>
      </w:r>
      <w:r w:rsidR="0001606F">
        <w:rPr>
          <w:rFonts w:eastAsiaTheme="minorEastAsia"/>
          <w:lang w:val="en-GB"/>
        </w:rPr>
        <w:t>it is regarding</w:t>
      </w:r>
      <w:r w:rsidRPr="009D0D16">
        <w:rPr>
          <w:rFonts w:eastAsiaTheme="minorEastAsia"/>
          <w:lang w:val="en-GB"/>
        </w:rPr>
        <w:t xml:space="preserve"> nonlinear transformations of observable variables, not through departures from the linear pricing paradigm itself.</w:t>
      </w:r>
    </w:p>
    <w:p w14:paraId="16EAB3C0" w14:textId="1F012778" w:rsidR="00292473" w:rsidRPr="009D0D16" w:rsidRDefault="00750E73" w:rsidP="00A43BFE">
      <w:pPr>
        <w:ind w:firstLine="720"/>
      </w:pPr>
      <w:r>
        <w:rPr>
          <w:rFonts w:eastAsiaTheme="minorEastAsia"/>
          <w:lang w:val="en-GB"/>
        </w:rPr>
        <w:t>The proposed pricing formulation encapsulates t</w:t>
      </w:r>
      <w:r w:rsidR="00292473" w:rsidRPr="009D0D16">
        <w:rPr>
          <w:rFonts w:eastAsiaTheme="minorEastAsia"/>
          <w:lang w:val="en-GB"/>
        </w:rPr>
        <w:t>raditional linear factor models as</w:t>
      </w:r>
      <w:r>
        <w:rPr>
          <w:rFonts w:eastAsiaTheme="minorEastAsia"/>
          <w:lang w:val="en-GB"/>
        </w:rPr>
        <w:t xml:space="preserve"> a</w:t>
      </w:r>
      <w:r w:rsidR="00292473" w:rsidRPr="009D0D16">
        <w:rPr>
          <w:rFonts w:eastAsiaTheme="minorEastAsia"/>
          <w:lang w:val="en-GB"/>
        </w:rPr>
        <w:t xml:space="preserve"> special case</w:t>
      </w:r>
      <w:r w:rsidR="00A11CE1">
        <w:rPr>
          <w:rFonts w:eastAsiaTheme="minorEastAsia"/>
          <w:lang w:val="en-GB"/>
        </w:rPr>
        <w:t xml:space="preserve"> </w:t>
      </w:r>
      <w:r w:rsidR="00292473" w:rsidRPr="009D0D16">
        <w:rPr>
          <w:rFonts w:eastAsiaTheme="minorEastAsia"/>
          <w:lang w:val="en-GB"/>
        </w:rPr>
        <w:t xml:space="preserve">restricted to being linear in a small number of factors: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i,t+1</m:t>
                </m:r>
              </m:sub>
            </m:sSub>
          </m:e>
          <m:e>
            <m:sSub>
              <m:sSubPr>
                <m:ctrlPr>
                  <w:rPr>
                    <w:rFonts w:ascii="Cambria Math" w:hAnsi="Cambria Math"/>
                    <w:i/>
                  </w:rPr>
                </m:ctrlPr>
              </m:sSubPr>
              <m:e>
                <m: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β</m:t>
            </m:r>
          </m:e>
          <m:sub>
            <m:r>
              <w:rPr>
                <w:rFonts w:ascii="Cambria Math" w:hAnsi="Cambria Math"/>
              </w:rPr>
              <m:t>i,t</m:t>
            </m:r>
          </m:sub>
          <m:sup>
            <m:r>
              <m:rPr>
                <m:sty m:val="p"/>
              </m:rPr>
              <w:rPr>
                <w:rFonts w:ascii="Cambria Math" w:hAnsi="Cambria Math"/>
              </w:rPr>
              <m:t>'</m:t>
            </m:r>
          </m:sup>
        </m:sSubSup>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t</m:t>
            </m:r>
          </m:sub>
        </m:sSub>
        <m:r>
          <w:rPr>
            <w:rFonts w:ascii="Cambria Math" w:hAnsi="Cambria Math"/>
          </w:rPr>
          <m:t>.</m:t>
        </m:r>
      </m:oMath>
      <w:r w:rsidR="00A43BFE" w:rsidRPr="009D0D16">
        <w:t xml:space="preserve"> </w:t>
      </w:r>
      <w:r w:rsidR="00292473" w:rsidRPr="009D0D16">
        <w:rPr>
          <w:rFonts w:eastAsiaTheme="minorEastAsia"/>
          <w:lang w:val="en-GB"/>
        </w:rPr>
        <w:t xml:space="preserve">Under further assumptions that risk exposures and prices of risk are linear functions of characteristics and macroeconomic variables respectively, the general pricing function </w:t>
      </w:r>
      <m:oMath>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m:rPr>
                    <m:sty m:val="p"/>
                  </m:rPr>
                  <w:rPr>
                    <w:rFonts w:ascii="Cambria Math" w:hAnsi="Cambria Math"/>
                  </w:rPr>
                  <m:t>z</m:t>
                </m:r>
              </m:e>
              <m:sub>
                <m:r>
                  <m:rPr>
                    <m:sty m:val="p"/>
                  </m:rPr>
                  <w:rPr>
                    <w:rFonts w:ascii="Cambria Math" w:hAnsi="Cambria Math"/>
                  </w:rPr>
                  <m:t>i,t</m:t>
                </m:r>
              </m:sub>
            </m:sSub>
          </m:e>
        </m:d>
      </m:oMath>
      <w:r w:rsidR="00292473" w:rsidRPr="009D0D16">
        <w:rPr>
          <w:rFonts w:eastAsiaTheme="minorEastAsia"/>
          <w:lang w:val="en-GB"/>
        </w:rPr>
        <w:t xml:space="preserve"> reduces to a linear function</w:t>
      </w:r>
      <w:r w:rsidR="001B125F">
        <w:rPr>
          <w:rFonts w:eastAsiaTheme="minorEastAsia"/>
          <w:lang w:val="en-GB"/>
        </w:rPr>
        <w:t xml:space="preserve"> </w:t>
      </w:r>
      <w:r w:rsidR="001B125F" w:rsidRPr="001B125F">
        <w:rPr>
          <w:rFonts w:eastAsiaTheme="minorEastAsia"/>
          <w:lang w:val="en-GB"/>
        </w:rPr>
        <w:t>of the combined information set. In this sense, empirical factor models impose strong restrictions on how information enters expected returns</w:t>
      </w:r>
      <w:r w:rsidR="00292473" w:rsidRPr="009D0D16">
        <w:rPr>
          <w:rFonts w:eastAsiaTheme="minorEastAsia"/>
          <w:lang w:val="en-GB"/>
        </w:rPr>
        <w:t xml:space="preserve"> </w:t>
      </w:r>
      <w:r w:rsidR="00CF0271">
        <w:rPr>
          <w:rFonts w:eastAsiaTheme="minorEastAsia"/>
          <w:lang w:val="en-GB"/>
        </w:rPr>
        <w:t>(</w:t>
      </w:r>
      <w:r w:rsidR="00292473" w:rsidRPr="009D0D16">
        <w:rPr>
          <w:rFonts w:eastAsiaTheme="minorEastAsia"/>
          <w:lang w:val="en-GB"/>
        </w:rPr>
        <w:t>Fama &amp; French</w:t>
      </w:r>
      <w:r w:rsidR="00CF0271">
        <w:rPr>
          <w:rFonts w:eastAsiaTheme="minorEastAsia"/>
          <w:lang w:val="en-GB"/>
        </w:rPr>
        <w:t xml:space="preserve">, </w:t>
      </w:r>
      <w:r w:rsidR="00292473" w:rsidRPr="009D0D16">
        <w:rPr>
          <w:rFonts w:eastAsiaTheme="minorEastAsia"/>
          <w:lang w:val="en-GB"/>
        </w:rPr>
        <w:t>1993</w:t>
      </w:r>
      <w:r w:rsidR="00CF0271">
        <w:rPr>
          <w:rFonts w:eastAsiaTheme="minorEastAsia"/>
          <w:lang w:val="en-GB"/>
        </w:rPr>
        <w:t>, Section 2)</w:t>
      </w:r>
      <w:r w:rsidR="00292473" w:rsidRPr="009D0D16">
        <w:rPr>
          <w:rFonts w:eastAsiaTheme="minorEastAsia"/>
          <w:lang w:val="en-GB"/>
        </w:rPr>
        <w:t>. Poor empirical performance of such models may stem from these restrictions rather than from the absence of priced risk.</w:t>
      </w:r>
    </w:p>
    <w:p w14:paraId="5AE96B93" w14:textId="7C2F1472" w:rsidR="00E96DCE" w:rsidRPr="009D0D16" w:rsidRDefault="000E3E3C" w:rsidP="000E3E3C">
      <w:pPr>
        <w:pStyle w:val="Heading2"/>
      </w:pPr>
      <w:r w:rsidRPr="009D0D16">
        <w:t xml:space="preserve">2.3 </w:t>
      </w:r>
      <w:r w:rsidR="00EF7C7E" w:rsidRPr="009D0D16">
        <w:t>Machine Learning as Function Approximation</w:t>
      </w:r>
    </w:p>
    <w:p w14:paraId="38B642A1" w14:textId="0A52B5C6" w:rsidR="00F7121C" w:rsidRPr="009D0D16" w:rsidRDefault="00F7121C" w:rsidP="00C800C3">
      <w:pPr>
        <w:ind w:firstLine="720"/>
      </w:pPr>
      <w:r w:rsidRPr="009D0D16">
        <w:t xml:space="preserve">Within this setting, machine learning methods are introduced as tools for approximating the unknown pricing function </w:t>
      </w:r>
      <m:oMath>
        <m:sSup>
          <m:sSupPr>
            <m:ctrlPr>
              <w:rPr>
                <w:rFonts w:ascii="Cambria Math" w:hAnsi="Cambria Math"/>
              </w:rPr>
            </m:ctrlPr>
          </m:sSupPr>
          <m:e>
            <m:r>
              <m:rPr>
                <m:sty m:val="p"/>
              </m:rPr>
              <w:rPr>
                <w:rFonts w:ascii="Cambria Math" w:hAnsi="Cambria Math"/>
              </w:rPr>
              <m:t>g</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m:t>
            </m:r>
          </m:e>
        </m:d>
      </m:oMath>
      <w:r w:rsidRPr="009D0D16">
        <w:t xml:space="preserve"> in high-dimensional environments. </w:t>
      </w:r>
      <w:r w:rsidR="00C42DD7">
        <w:t>Specifically,</w:t>
      </w:r>
      <w:r w:rsidRPr="009D0D16">
        <w:t xml:space="preserve"> tree-based methods and neural networks generate</w:t>
      </w:r>
      <w:r w:rsidR="00F852AB">
        <w:t xml:space="preserve"> </w:t>
      </w:r>
      <w:r w:rsidRPr="009D0D16">
        <w:t>nonlinear transformations and interactions while controlling overfitting through regularization and validation.</w:t>
      </w:r>
    </w:p>
    <w:p w14:paraId="0080E367" w14:textId="2BC722AB" w:rsidR="00F7121C" w:rsidRPr="009D0D16" w:rsidRDefault="00896A90" w:rsidP="00896A90">
      <w:pPr>
        <w:ind w:firstLine="720"/>
        <w:rPr>
          <w:lang w:val="en-GB"/>
        </w:rPr>
      </w:pPr>
      <w:r w:rsidRPr="009D0D16">
        <w:rPr>
          <w:lang w:val="en-GB"/>
        </w:rPr>
        <w:t xml:space="preserve">Crucially, these methods do not </w:t>
      </w:r>
      <w:r w:rsidR="006D254F">
        <w:rPr>
          <w:lang w:val="en-GB"/>
        </w:rPr>
        <w:t>change</w:t>
      </w:r>
      <w:r w:rsidRPr="009D0D16">
        <w:rPr>
          <w:lang w:val="en-GB"/>
        </w:rPr>
        <w:t xml:space="preserve"> the underlying economic object of interest. Expected returns remain conditional expectations consistent with an SDF representation, and model evaluation focuses on pricing errors rather than trading profitability. </w:t>
      </w:r>
      <w:r w:rsidR="00241E7B">
        <w:rPr>
          <w:lang w:val="en-GB"/>
        </w:rPr>
        <w:t>Any i</w:t>
      </w:r>
      <w:r w:rsidRPr="009D0D16">
        <w:rPr>
          <w:lang w:val="en-GB"/>
        </w:rPr>
        <w:t>mprovements in out-of-sample</w:t>
      </w:r>
      <w:r w:rsidR="00241E7B">
        <w:rPr>
          <w:lang w:val="en-GB"/>
        </w:rPr>
        <w:t xml:space="preserve"> prediction</w:t>
      </w:r>
      <w:r w:rsidRPr="009D0D16">
        <w:rPr>
          <w:lang w:val="en-GB"/>
        </w:rPr>
        <w:t xml:space="preserve"> performance are interpreted as evidence of reduced approximation error in the pricing function, not as</w:t>
      </w:r>
      <w:r w:rsidR="00D20E30">
        <w:rPr>
          <w:lang w:val="en-GB"/>
        </w:rPr>
        <w:t xml:space="preserve"> a</w:t>
      </w:r>
      <w:r w:rsidRPr="009D0D16">
        <w:rPr>
          <w:lang w:val="en-GB"/>
        </w:rPr>
        <w:t xml:space="preserve"> market efficiency</w:t>
      </w:r>
      <w:r w:rsidR="00D20E30">
        <w:rPr>
          <w:lang w:val="en-GB"/>
        </w:rPr>
        <w:t xml:space="preserve"> infringement.</w:t>
      </w:r>
      <w:r w:rsidRPr="009D0D16">
        <w:rPr>
          <w:lang w:val="en-GB"/>
        </w:rPr>
        <w:t xml:space="preserve"> This interpretation positions the contribution within empirical asset pricing, with machine learning as a flexible estimation strategy </w:t>
      </w:r>
      <w:r w:rsidR="0060651E">
        <w:rPr>
          <w:lang w:val="en-GB"/>
        </w:rPr>
        <w:t>that is sustained via</w:t>
      </w:r>
      <w:r w:rsidRPr="009D0D16">
        <w:rPr>
          <w:lang w:val="en-GB"/>
        </w:rPr>
        <w:t xml:space="preserve"> economic theory.</w:t>
      </w:r>
    </w:p>
    <w:p w14:paraId="3FB18436" w14:textId="118EB3ED" w:rsidR="00262707" w:rsidRPr="009D0D16" w:rsidRDefault="00BA7210" w:rsidP="00BA7210">
      <w:pPr>
        <w:pStyle w:val="Heading1"/>
        <w:rPr>
          <w:rFonts w:cs="Times New Roman"/>
        </w:rPr>
      </w:pPr>
      <w:r w:rsidRPr="009D0D16">
        <w:rPr>
          <w:rFonts w:cs="Times New Roman"/>
        </w:rPr>
        <w:lastRenderedPageBreak/>
        <w:t xml:space="preserve">3. </w:t>
      </w:r>
      <w:r w:rsidR="00F04EF6" w:rsidRPr="009D0D16">
        <w:rPr>
          <w:rFonts w:cs="Times New Roman"/>
        </w:rPr>
        <w:t>Data and Empirical Design</w:t>
      </w:r>
    </w:p>
    <w:p w14:paraId="40AE0DCA" w14:textId="32E98F14" w:rsidR="00357473" w:rsidRPr="009D0D16" w:rsidRDefault="00357473" w:rsidP="00357473">
      <w:pPr>
        <w:ind w:firstLine="720"/>
        <w:rPr>
          <w:lang w:val="en-GB"/>
        </w:rPr>
      </w:pPr>
      <w:r w:rsidRPr="009D0D16">
        <w:rPr>
          <w:lang w:val="en-GB"/>
        </w:rPr>
        <w:t xml:space="preserve">The empirical analysis uses monthly U.S. equity data from CRSP </w:t>
      </w:r>
      <w:r w:rsidR="0060651E">
        <w:rPr>
          <w:lang w:val="en-GB"/>
        </w:rPr>
        <w:t>ranging from</w:t>
      </w:r>
      <w:r w:rsidRPr="009D0D16">
        <w:rPr>
          <w:lang w:val="en-GB"/>
        </w:rPr>
        <w:t xml:space="preserve"> 1957 to 2016. The sample includes all common stocks listed on NYSE, AMEX, and NASDAQ exchanges. </w:t>
      </w:r>
      <w:r w:rsidR="00B77B75">
        <w:rPr>
          <w:lang w:val="en-GB"/>
        </w:rPr>
        <w:t>Excess r</w:t>
      </w:r>
      <w:r w:rsidRPr="009D0D16">
        <w:rPr>
          <w:lang w:val="en-GB"/>
        </w:rPr>
        <w:t xml:space="preserve">eturns are measured </w:t>
      </w:r>
      <w:r w:rsidR="00B77B75">
        <w:rPr>
          <w:lang w:val="en-GB"/>
        </w:rPr>
        <w:t xml:space="preserve">with respect to </w:t>
      </w:r>
      <w:r w:rsidRPr="009D0D16">
        <w:rPr>
          <w:lang w:val="en-GB"/>
        </w:rPr>
        <w:t>the one-month Treasury bill rate.</w:t>
      </w:r>
    </w:p>
    <w:p w14:paraId="7053C6E9" w14:textId="7402C7CE" w:rsidR="00357473" w:rsidRPr="009D0D16" w:rsidRDefault="00357473" w:rsidP="00357473">
      <w:pPr>
        <w:ind w:firstLine="720"/>
        <w:rPr>
          <w:lang w:val="en-GB"/>
        </w:rPr>
      </w:pPr>
      <w:r w:rsidRPr="009D0D16">
        <w:rPr>
          <w:lang w:val="en-GB"/>
        </w:rPr>
        <w:t xml:space="preserve">The information set consists of two components. First, a large set of firm-level characteristics drawn from the cross-sectional asset pricing literature, covering categories such as size, value, momentum, profitability, investment, liquidity, and return volatility. Second, a small set of aggregate macroeconomic state variables commonly used to capture time variation in expected returns, including valuation ratios, interest rate spreads, and measures of market volatility. </w:t>
      </w:r>
      <w:r w:rsidR="0091172E" w:rsidRPr="0091172E">
        <w:t>All variables are lagged appropriately to reflect realistic information availability and to avoid look-ahead bias</w:t>
      </w:r>
      <w:r w:rsidRPr="009D0D16">
        <w:rPr>
          <w:lang w:val="en-GB"/>
        </w:rPr>
        <w:t xml:space="preserve"> </w:t>
      </w:r>
      <w:r w:rsidR="001D3481">
        <w:rPr>
          <w:lang w:val="en-GB"/>
        </w:rPr>
        <w:t>(</w:t>
      </w:r>
      <w:r w:rsidRPr="009D0D16">
        <w:rPr>
          <w:lang w:val="en-GB"/>
        </w:rPr>
        <w:t>Gu, Kelly &amp; Xiu</w:t>
      </w:r>
      <w:r w:rsidR="001D3481">
        <w:rPr>
          <w:lang w:val="en-GB"/>
        </w:rPr>
        <w:t xml:space="preserve">, </w:t>
      </w:r>
      <w:r w:rsidRPr="009D0D16">
        <w:rPr>
          <w:lang w:val="en-GB"/>
        </w:rPr>
        <w:t>2020</w:t>
      </w:r>
      <w:r w:rsidR="001D3481">
        <w:rPr>
          <w:lang w:val="en-GB"/>
        </w:rPr>
        <w:t xml:space="preserve">, </w:t>
      </w:r>
      <w:r w:rsidR="00F162A5">
        <w:rPr>
          <w:lang w:val="en-GB"/>
        </w:rPr>
        <w:t>Section 2</w:t>
      </w:r>
      <w:r w:rsidR="001D3481">
        <w:rPr>
          <w:lang w:val="en-GB"/>
        </w:rPr>
        <w:t>)</w:t>
      </w:r>
      <w:r w:rsidRPr="009D0D16">
        <w:rPr>
          <w:lang w:val="en-GB"/>
        </w:rPr>
        <w:t>.</w:t>
      </w:r>
    </w:p>
    <w:p w14:paraId="5902D240" w14:textId="77777777" w:rsidR="00357473" w:rsidRPr="009D0D16" w:rsidRDefault="00357473" w:rsidP="00357473">
      <w:pPr>
        <w:ind w:firstLine="720"/>
        <w:rPr>
          <w:lang w:val="en-GB"/>
        </w:rPr>
      </w:pPr>
      <w:r w:rsidRPr="009D0D16">
        <w:rPr>
          <w:lang w:val="en-GB"/>
        </w:rPr>
        <w:t>The sample is divided into training, validation, and testing subsamples that respect temporal ordering. Model parameters and regularization hyperparameters are selected using rolling validation windows, and performance is evaluated over a long out-of-sample testing period. Models are re-estimated periodically rather than recursively each month.</w:t>
      </w:r>
    </w:p>
    <w:p w14:paraId="50AF6FF4" w14:textId="73B248D6" w:rsidR="00833427" w:rsidRPr="009D0D16" w:rsidRDefault="00357473" w:rsidP="00357473">
      <w:pPr>
        <w:ind w:firstLine="720"/>
        <w:rPr>
          <w:lang w:val="en-GB"/>
        </w:rPr>
      </w:pPr>
      <w:r w:rsidRPr="009D0D16">
        <w:rPr>
          <w:lang w:val="en-GB"/>
        </w:rPr>
        <w:t xml:space="preserve">Model performance is assessed using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measures that quantify the extent to which estimated conditional expectations explain variation in realized excess returns. </w:t>
      </w:r>
      <w:r w:rsidR="002010EE">
        <w:rPr>
          <w:lang w:val="en-GB"/>
        </w:rPr>
        <w:t>As specified before</w:t>
      </w:r>
      <w:r w:rsidRPr="009D0D16">
        <w:rPr>
          <w:lang w:val="en-GB"/>
        </w:rPr>
        <w:t>, improvements in these metrics are interpreted as reductions in pricing errors associated with misspecification of the conditional pricing function. Portfolio-level analyses provide complementary evaluations, assessing whether improvements at the stock level translate into economically meaningful reductions in pricing errors for aggregated portfolios.</w:t>
      </w:r>
    </w:p>
    <w:p w14:paraId="4BF4426E" w14:textId="4C0F2B0E" w:rsidR="00262707" w:rsidRPr="009D0D16" w:rsidRDefault="00F24C9D" w:rsidP="003E05D5">
      <w:pPr>
        <w:pStyle w:val="Heading1"/>
        <w:rPr>
          <w:rFonts w:cs="Times New Roman"/>
        </w:rPr>
      </w:pPr>
      <w:r w:rsidRPr="009D0D16">
        <w:rPr>
          <w:rFonts w:cs="Times New Roman"/>
        </w:rPr>
        <w:t xml:space="preserve">4. </w:t>
      </w:r>
      <w:r w:rsidR="009258AA" w:rsidRPr="009D0D16">
        <w:rPr>
          <w:rFonts w:cs="Times New Roman"/>
        </w:rPr>
        <w:t>Review and Critical Evaluation of Findings</w:t>
      </w:r>
    </w:p>
    <w:p w14:paraId="4D6D02EE" w14:textId="436D1156" w:rsidR="0085300B" w:rsidRPr="009D0D16" w:rsidRDefault="0085300B" w:rsidP="003A60F4">
      <w:pPr>
        <w:pStyle w:val="Heading2"/>
      </w:pPr>
      <w:r w:rsidRPr="009D0D16">
        <w:t>4.1 Return Predictability and Model Misspecification</w:t>
      </w:r>
    </w:p>
    <w:p w14:paraId="728FCFF6" w14:textId="328CE8DB" w:rsidR="00025088" w:rsidRDefault="00025088" w:rsidP="00025088">
      <w:pPr>
        <w:ind w:firstLine="720"/>
        <w:rPr>
          <w:lang w:val="en-GB"/>
        </w:rPr>
      </w:pPr>
      <w:r w:rsidRPr="009D0D16">
        <w:rPr>
          <w:lang w:val="en-GB"/>
        </w:rPr>
        <w:t xml:space="preserve">A central empirical finding is that flexible estimation of the conditional pricing function leads to economically meaningful improvements in out-of-sample explanatory power </w:t>
      </w:r>
      <w:r w:rsidR="0047482A">
        <w:rPr>
          <w:lang w:val="en-GB"/>
        </w:rPr>
        <w:t>compared</w:t>
      </w:r>
      <w:r w:rsidRPr="009D0D16">
        <w:rPr>
          <w:lang w:val="en-GB"/>
        </w:rPr>
        <w:t xml:space="preserve"> to traditional linear models. Unrestricted linear regressions that include the full set of firm characteristics perform poorly out of sample, exhibiting strongly negative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values, </w:t>
      </w:r>
      <w:r w:rsidR="00FA7A65">
        <w:rPr>
          <w:lang w:val="en-GB"/>
        </w:rPr>
        <w:t xml:space="preserve">thus </w:t>
      </w:r>
      <w:r w:rsidRPr="009D0D16">
        <w:rPr>
          <w:lang w:val="en-GB"/>
        </w:rPr>
        <w:t xml:space="preserve">reinforcing earlier concerns about severe overfitting. In contrast, constrained linear models that </w:t>
      </w:r>
      <w:r w:rsidRPr="009D0D16">
        <w:rPr>
          <w:lang w:val="en-GB"/>
        </w:rPr>
        <w:lastRenderedPageBreak/>
        <w:t>impose regularization or dimensionality reductio</w:t>
      </w:r>
      <w:r w:rsidR="00C23877">
        <w:rPr>
          <w:lang w:val="en-GB"/>
        </w:rPr>
        <w:t xml:space="preserve">n (ENET, PLS, PCR) </w:t>
      </w:r>
      <w:r w:rsidRPr="009D0D16">
        <w:rPr>
          <w:lang w:val="en-GB"/>
        </w:rPr>
        <w:t xml:space="preserve">achieve modest but positive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However, their explanatory power remains limited, suggesting that restricting dimensionality alone is insufficient. Nonlinear methods, </w:t>
      </w:r>
      <w:r w:rsidR="00F70263">
        <w:rPr>
          <w:lang w:val="en-GB"/>
        </w:rPr>
        <w:t>specifically</w:t>
      </w:r>
      <w:r w:rsidRPr="009D0D16">
        <w:rPr>
          <w:lang w:val="en-GB"/>
        </w:rPr>
        <w:t xml:space="preserve"> tree-based models and neural networks, deliver the strongest performance, with substantial increases in monthly out-of-sample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D0D16">
        <w:rPr>
          <w:lang w:val="en-GB"/>
        </w:rPr>
        <w:t xml:space="preserve"> relative to both unrestricted and regularized linear benchmarks. From an asset pricing perspective, these results support the interpretation that traditional models fail primarily due to overly restrictive functional form assumptions.</w:t>
      </w:r>
    </w:p>
    <w:p w14:paraId="126C9CD1" w14:textId="54AE5924" w:rsidR="000E5277" w:rsidRPr="009D0D16" w:rsidRDefault="000E5277" w:rsidP="00025088">
      <w:pPr>
        <w:ind w:firstLine="720"/>
        <w:rPr>
          <w:lang w:val="en-GB"/>
        </w:rPr>
      </w:pPr>
      <w:r>
        <w:rPr>
          <w:lang w:val="en-GB"/>
        </w:rPr>
        <w:t>The best performing model</w:t>
      </w:r>
      <w:r w:rsidR="00ED407E">
        <w:rPr>
          <w:lang w:val="en-GB"/>
        </w:rPr>
        <w:t xml:space="preserve"> for all stocks </w:t>
      </w:r>
      <w:r w:rsidR="00E059B6">
        <w:rPr>
          <w:lang w:val="en-GB"/>
        </w:rPr>
        <w:t xml:space="preserve">is a neural network </w:t>
      </w:r>
      <w:r w:rsidR="00387E6D">
        <w:rPr>
          <w:lang w:val="en-GB"/>
        </w:rPr>
        <w:t xml:space="preserve">with 3 hidden layers, which obtained an OOS coefficient of determination of 0.40% </w:t>
      </w:r>
      <w:r w:rsidR="007A216E">
        <w:rPr>
          <w:lang w:val="en-GB"/>
        </w:rPr>
        <w:t xml:space="preserve">at the month-level. At the </w:t>
      </w:r>
      <w:proofErr w:type="gramStart"/>
      <w:r w:rsidR="007A216E">
        <w:rPr>
          <w:lang w:val="en-GB"/>
        </w:rPr>
        <w:t>annual-level</w:t>
      </w:r>
      <w:proofErr w:type="gramEnd"/>
      <w:r w:rsidR="007A216E">
        <w:rPr>
          <w:lang w:val="en-GB"/>
        </w:rPr>
        <w:t xml:space="preserve">, </w:t>
      </w:r>
      <w:r w:rsidR="005B2358">
        <w:rPr>
          <w:lang w:val="en-GB"/>
        </w:rPr>
        <w:t xml:space="preserve">a neural network of 4 hidden layers has the highest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5B2358">
        <w:rPr>
          <w:rFonts w:eastAsiaTheme="minorEastAsia"/>
        </w:rPr>
        <w:t xml:space="preserve">, being </w:t>
      </w:r>
      <w:r w:rsidR="00ED407E">
        <w:rPr>
          <w:rFonts w:eastAsiaTheme="minorEastAsia"/>
        </w:rPr>
        <w:t>3.60%</w:t>
      </w:r>
      <w:r w:rsidR="00432DEF">
        <w:rPr>
          <w:rFonts w:eastAsiaTheme="minorEastAsia"/>
        </w:rPr>
        <w:t>.</w:t>
      </w:r>
    </w:p>
    <w:p w14:paraId="2CE818EB" w14:textId="21631E58" w:rsidR="003A60F4" w:rsidRPr="009D0D16" w:rsidRDefault="003A60F4" w:rsidP="003A60F4">
      <w:pPr>
        <w:pStyle w:val="Heading2"/>
      </w:pPr>
      <w:r w:rsidRPr="009D0D16">
        <w:t>4.2 Feature Importance and Economic Interpretation</w:t>
      </w:r>
    </w:p>
    <w:p w14:paraId="3C0D1D90" w14:textId="17B6A796" w:rsidR="00E83455" w:rsidRPr="009D0D16" w:rsidRDefault="00E83455" w:rsidP="00E83455">
      <w:pPr>
        <w:ind w:firstLine="720"/>
        <w:rPr>
          <w:lang w:val="en-GB"/>
        </w:rPr>
      </w:pPr>
      <w:r w:rsidRPr="009D0D16">
        <w:rPr>
          <w:lang w:val="en-GB"/>
        </w:rPr>
        <w:t xml:space="preserve">The paper provides insight into which types of information are most relevant for explaining expected returns. Using a variable-importance procedure based on setting individual characteristics to zero and measuring the resulting deterioration in performance, the authors identify several groups of characteristics that consistently contribute to return predictability. The most important predictors fall into four broad categories: price trends and momentum, liquidity measures, risk proxies such as volatility and market beta, and valuation signals. These findings are broadly consistent with established empirical regularities </w:t>
      </w:r>
      <w:r w:rsidR="00612556">
        <w:rPr>
          <w:lang w:val="en-GB"/>
        </w:rPr>
        <w:t>(</w:t>
      </w:r>
      <w:r w:rsidRPr="009D0D16">
        <w:rPr>
          <w:lang w:val="en-GB"/>
        </w:rPr>
        <w:t>Fama &amp; French</w:t>
      </w:r>
      <w:r w:rsidR="00612556">
        <w:rPr>
          <w:lang w:val="en-GB"/>
        </w:rPr>
        <w:t xml:space="preserve">, </w:t>
      </w:r>
      <w:r w:rsidRPr="009D0D16">
        <w:rPr>
          <w:lang w:val="en-GB"/>
        </w:rPr>
        <w:t>2015</w:t>
      </w:r>
      <w:r w:rsidR="00612556">
        <w:rPr>
          <w:lang w:val="en-GB"/>
        </w:rPr>
        <w:t xml:space="preserve">, </w:t>
      </w:r>
      <w:r w:rsidR="00A16B1A">
        <w:rPr>
          <w:lang w:val="en-GB"/>
        </w:rPr>
        <w:t>Section 2</w:t>
      </w:r>
      <w:r w:rsidR="00612556">
        <w:rPr>
          <w:lang w:val="en-GB"/>
        </w:rPr>
        <w:t>)</w:t>
      </w:r>
      <w:r w:rsidRPr="009D0D16">
        <w:rPr>
          <w:lang w:val="en-GB"/>
        </w:rPr>
        <w:t>. An important distinction arises between linear and nonlinear models in how information is weighted</w:t>
      </w:r>
      <w:r w:rsidR="00324800">
        <w:rPr>
          <w:lang w:val="en-GB"/>
        </w:rPr>
        <w:t>.</w:t>
      </w:r>
      <w:r w:rsidRPr="009D0D16">
        <w:rPr>
          <w:lang w:val="en-GB"/>
        </w:rPr>
        <w:t xml:space="preserve"> </w:t>
      </w:r>
      <w:r w:rsidR="00324800">
        <w:rPr>
          <w:lang w:val="en-GB"/>
        </w:rPr>
        <w:t>L</w:t>
      </w:r>
      <w:r w:rsidRPr="009D0D16">
        <w:rPr>
          <w:lang w:val="en-GB"/>
        </w:rPr>
        <w:t>inear models emphasize momentum and reversal characteristics, while nonlinear models distribute importance more evenly across variables. This suggests that nonlinear estimators capture interactions and conditional effects suppressed in linear specifications</w:t>
      </w:r>
      <w:r w:rsidR="00A61466">
        <w:rPr>
          <w:lang w:val="en-GB"/>
        </w:rPr>
        <w:t xml:space="preserve">. </w:t>
      </w:r>
      <w:r w:rsidR="008E6804">
        <w:rPr>
          <w:lang w:val="en-GB"/>
        </w:rPr>
        <w:t>T</w:t>
      </w:r>
      <w:r w:rsidR="0054716F">
        <w:rPr>
          <w:lang w:val="en-GB"/>
        </w:rPr>
        <w:t xml:space="preserve">he </w:t>
      </w:r>
      <w:r w:rsidR="00FB2045">
        <w:rPr>
          <w:lang w:val="en-GB"/>
        </w:rPr>
        <w:t xml:space="preserve">results of the feature importance analysis </w:t>
      </w:r>
      <w:r w:rsidR="00613197">
        <w:rPr>
          <w:lang w:val="en-GB"/>
        </w:rPr>
        <w:t>open</w:t>
      </w:r>
      <w:r w:rsidR="00A61466">
        <w:rPr>
          <w:lang w:val="en-GB"/>
        </w:rPr>
        <w:t xml:space="preserve"> the discussion of whether</w:t>
      </w:r>
      <w:r w:rsidRPr="009D0D16">
        <w:rPr>
          <w:lang w:val="en-GB"/>
        </w:rPr>
        <w:t xml:space="preserve"> anomalies may</w:t>
      </w:r>
      <w:r w:rsidR="00A61466">
        <w:rPr>
          <w:lang w:val="en-GB"/>
        </w:rPr>
        <w:t xml:space="preserve"> be</w:t>
      </w:r>
      <w:r w:rsidR="00793DE9">
        <w:rPr>
          <w:lang w:val="en-GB"/>
        </w:rPr>
        <w:t xml:space="preserve"> the result of</w:t>
      </w:r>
      <w:r w:rsidRPr="009D0D16">
        <w:rPr>
          <w:lang w:val="en-GB"/>
        </w:rPr>
        <w:t xml:space="preserve"> complex interactions among characteristics</w:t>
      </w:r>
      <w:r w:rsidR="00793DE9">
        <w:rPr>
          <w:lang w:val="en-GB"/>
        </w:rPr>
        <w:t xml:space="preserve">, or </w:t>
      </w:r>
      <w:r w:rsidRPr="009D0D16">
        <w:rPr>
          <w:lang w:val="en-GB"/>
        </w:rPr>
        <w:t>isolated sources of mispricing.</w:t>
      </w:r>
    </w:p>
    <w:p w14:paraId="658E22C8" w14:textId="4A871A69" w:rsidR="003A60F4" w:rsidRPr="009D0D16" w:rsidRDefault="003A60F4" w:rsidP="003A60F4">
      <w:pPr>
        <w:pStyle w:val="Heading2"/>
      </w:pPr>
      <w:r w:rsidRPr="009D0D16">
        <w:t>4.3 Portfolio-Level Implications</w:t>
      </w:r>
    </w:p>
    <w:p w14:paraId="250FE963" w14:textId="18322B2E" w:rsidR="003A60F4" w:rsidRPr="009D0D16" w:rsidRDefault="00F15CA5" w:rsidP="00F15CA5">
      <w:pPr>
        <w:ind w:firstLine="720"/>
        <w:rPr>
          <w:lang w:val="en-GB"/>
        </w:rPr>
      </w:pPr>
      <w:r w:rsidRPr="009D0D16">
        <w:rPr>
          <w:lang w:val="en-GB"/>
        </w:rPr>
        <w:t xml:space="preserve">To assess the economic relevance of stock-level improvements, the authors examine portfolio-level performance. Since portfolios aggregate individual assets, they provide a more </w:t>
      </w:r>
      <w:r w:rsidR="006E5F78">
        <w:rPr>
          <w:lang w:val="en-GB"/>
        </w:rPr>
        <w:t>rigorous</w:t>
      </w:r>
      <w:r w:rsidRPr="009D0D16">
        <w:rPr>
          <w:lang w:val="en-GB"/>
        </w:rPr>
        <w:t xml:space="preserve"> test of whether estimated expected returns capture systematic variation </w:t>
      </w:r>
      <w:r w:rsidR="005F48F9">
        <w:rPr>
          <w:lang w:val="en-GB"/>
        </w:rPr>
        <w:t>over</w:t>
      </w:r>
      <w:r w:rsidRPr="009D0D16">
        <w:rPr>
          <w:lang w:val="en-GB"/>
        </w:rPr>
        <w:t xml:space="preserve"> idiosyncratic noise. Across pre-specified portfolios, nonlinear models achieve substantial </w:t>
      </w:r>
      <w:r w:rsidRPr="009D0D16">
        <w:rPr>
          <w:lang w:val="en-GB"/>
        </w:rPr>
        <w:lastRenderedPageBreak/>
        <w:t xml:space="preserve">improvements in out-of-sample explanatory power. These gains translate into higher Sharpe ratios and lower return volatility, indicating that improvements are economically meaningful when aggregated. However, </w:t>
      </w:r>
      <w:r w:rsidR="00277885">
        <w:rPr>
          <w:lang w:val="en-GB"/>
        </w:rPr>
        <w:t xml:space="preserve">it is important to assess with caution </w:t>
      </w:r>
      <w:r w:rsidRPr="009D0D16">
        <w:rPr>
          <w:lang w:val="en-GB"/>
        </w:rPr>
        <w:t>portfolio-level success</w:t>
      </w:r>
      <w:r w:rsidR="00277885">
        <w:rPr>
          <w:lang w:val="en-GB"/>
        </w:rPr>
        <w:t>, because</w:t>
      </w:r>
      <w:r w:rsidRPr="009D0D16">
        <w:rPr>
          <w:lang w:val="en-GB"/>
        </w:rPr>
        <w:t xml:space="preserve"> dependence across stock returns means that strong individual predictions do not mechanically guarantee portfolio-level accuracy. The results demonstrate that flexible aggregation of information can improve empirical approximations to expected returns at economically meaningful levels of aggregation.</w:t>
      </w:r>
    </w:p>
    <w:p w14:paraId="7BE90D90" w14:textId="134C0627" w:rsidR="003A60F4" w:rsidRPr="009D0D16" w:rsidRDefault="003A60F4" w:rsidP="003A60F4">
      <w:pPr>
        <w:pStyle w:val="Heading2"/>
      </w:pPr>
      <w:r w:rsidRPr="009D0D16">
        <w:t>4.4 Critical Assessment and Limitations</w:t>
      </w:r>
    </w:p>
    <w:p w14:paraId="7F812A24" w14:textId="6707EBE7" w:rsidR="00535C0F" w:rsidRPr="009D0D16" w:rsidRDefault="00535C0F" w:rsidP="00535C0F">
      <w:pPr>
        <w:ind w:firstLine="720"/>
        <w:rPr>
          <w:lang w:val="en-GB"/>
        </w:rPr>
      </w:pPr>
      <w:r w:rsidRPr="009D0D16">
        <w:rPr>
          <w:lang w:val="en-GB"/>
        </w:rPr>
        <w:t>Despite its strengths, the empirical evidence raises several questions. First, while neural networks often outperform linear benchmarks, differences between tree</w:t>
      </w:r>
      <w:r w:rsidR="00533FEF">
        <w:rPr>
          <w:lang w:val="en-GB"/>
        </w:rPr>
        <w:t xml:space="preserve"> models</w:t>
      </w:r>
      <w:r w:rsidRPr="009D0D16">
        <w:rPr>
          <w:lang w:val="en-GB"/>
        </w:rPr>
        <w:t xml:space="preserve"> and neural networks</w:t>
      </w:r>
      <w:r w:rsidR="0028757F">
        <w:rPr>
          <w:lang w:val="en-GB"/>
        </w:rPr>
        <w:t xml:space="preserve"> </w:t>
      </w:r>
      <w:r w:rsidRPr="009D0D16">
        <w:rPr>
          <w:lang w:val="en-GB"/>
        </w:rPr>
        <w:t>are not always statistically significant</w:t>
      </w:r>
      <w:r w:rsidR="007F43AB">
        <w:rPr>
          <w:lang w:val="en-GB"/>
        </w:rPr>
        <w:t xml:space="preserve">. </w:t>
      </w:r>
      <w:r w:rsidR="00D41A20">
        <w:rPr>
          <w:lang w:val="en-GB"/>
        </w:rPr>
        <w:t xml:space="preserve">The </w:t>
      </w:r>
      <w:r w:rsidR="00E0492E">
        <w:rPr>
          <w:lang w:val="en-GB"/>
        </w:rPr>
        <w:t>implication of this is that the</w:t>
      </w:r>
      <w:r w:rsidRPr="009D0D16">
        <w:rPr>
          <w:lang w:val="en-GB"/>
        </w:rPr>
        <w:t xml:space="preserve"> key improvement </w:t>
      </w:r>
      <w:r w:rsidR="00E0492E">
        <w:rPr>
          <w:lang w:val="en-GB"/>
        </w:rPr>
        <w:t>comes</w:t>
      </w:r>
      <w:r w:rsidRPr="009D0D16">
        <w:rPr>
          <w:lang w:val="en-GB"/>
        </w:rPr>
        <w:t xml:space="preserve"> from allowing for nonlinear interactions </w:t>
      </w:r>
      <w:r w:rsidR="00067035">
        <w:rPr>
          <w:lang w:val="en-GB"/>
        </w:rPr>
        <w:t xml:space="preserve">on the </w:t>
      </w:r>
      <w:r w:rsidR="004713C4">
        <w:rPr>
          <w:lang w:val="en-GB"/>
        </w:rPr>
        <w:t>factors</w:t>
      </w:r>
      <w:r w:rsidRPr="009D0D16">
        <w:rPr>
          <w:lang w:val="en-GB"/>
        </w:rPr>
        <w:t xml:space="preserve">. Second, the analysis primarily focuses on monthly horizons, and statistical comparisons at annual frequencies are less extensively documented. Given that asset pricing implications often concern long-horizon expected returns, further evaluation at lower frequencies would strengthen the interpretation. </w:t>
      </w:r>
      <w:r w:rsidR="008475AF" w:rsidRPr="008475AF">
        <w:rPr>
          <w:lang w:val="en-GB"/>
        </w:rPr>
        <w:t xml:space="preserve">Third, while the feature-importance analysis provides valuable insights, it </w:t>
      </w:r>
      <w:r w:rsidR="008475AF">
        <w:rPr>
          <w:lang w:val="en-GB"/>
        </w:rPr>
        <w:t>still is</w:t>
      </w:r>
      <w:r w:rsidR="008475AF" w:rsidRPr="008475AF">
        <w:rPr>
          <w:lang w:val="en-GB"/>
        </w:rPr>
        <w:t xml:space="preserve"> model-dependent. The interpretation of importance scores is less straightforward in nonlinear settings, and causal conclusions about the pricing role of individual characteristics remain elusive. Future work could explore</w:t>
      </w:r>
      <w:r w:rsidR="00946107">
        <w:rPr>
          <w:lang w:val="en-GB"/>
        </w:rPr>
        <w:t xml:space="preserve"> if</w:t>
      </w:r>
      <w:r w:rsidR="008475AF" w:rsidRPr="008475AF">
        <w:rPr>
          <w:lang w:val="en-GB"/>
        </w:rPr>
        <w:t xml:space="preserve"> unsupervised learning methods </w:t>
      </w:r>
      <w:r w:rsidR="00946107">
        <w:rPr>
          <w:lang w:val="en-GB"/>
        </w:rPr>
        <w:t>can</w:t>
      </w:r>
      <w:r w:rsidR="007E18A0">
        <w:rPr>
          <w:lang w:val="en-GB"/>
        </w:rPr>
        <w:t xml:space="preserve"> uncover</w:t>
      </w:r>
      <w:r w:rsidR="00946107">
        <w:rPr>
          <w:lang w:val="en-GB"/>
        </w:rPr>
        <w:t xml:space="preserve"> any</w:t>
      </w:r>
      <w:r w:rsidR="008475AF" w:rsidRPr="008475AF">
        <w:rPr>
          <w:lang w:val="en-GB"/>
        </w:rPr>
        <w:t xml:space="preserve"> </w:t>
      </w:r>
      <w:r w:rsidR="00C258A7">
        <w:rPr>
          <w:lang w:val="en-GB"/>
        </w:rPr>
        <w:t>hidden</w:t>
      </w:r>
      <w:r w:rsidR="008475AF" w:rsidRPr="008475AF">
        <w:rPr>
          <w:lang w:val="en-GB"/>
        </w:rPr>
        <w:t xml:space="preserve"> structure in the data that further clarifies the economic sources of predictability.</w:t>
      </w:r>
    </w:p>
    <w:p w14:paraId="0AAD586E" w14:textId="2C55DDF9" w:rsidR="00262707" w:rsidRPr="009D0D16" w:rsidRDefault="0085300B" w:rsidP="003E05D5">
      <w:pPr>
        <w:pStyle w:val="Heading1"/>
        <w:rPr>
          <w:rFonts w:cs="Times New Roman"/>
        </w:rPr>
      </w:pPr>
      <w:r w:rsidRPr="009D0D16">
        <w:rPr>
          <w:rFonts w:cs="Times New Roman"/>
        </w:rPr>
        <w:t xml:space="preserve">5. </w:t>
      </w:r>
      <w:r w:rsidR="0081660C" w:rsidRPr="009D0D16">
        <w:rPr>
          <w:rFonts w:cs="Times New Roman"/>
        </w:rPr>
        <w:t>Implications for Factor Models and Anomalies</w:t>
      </w:r>
    </w:p>
    <w:p w14:paraId="7298FD24" w14:textId="5228555B" w:rsidR="00C84E29" w:rsidRPr="009D0D16" w:rsidRDefault="00C84E29" w:rsidP="00C84E29">
      <w:pPr>
        <w:ind w:firstLine="720"/>
        <w:rPr>
          <w:lang w:val="en-GB"/>
        </w:rPr>
      </w:pPr>
      <w:r w:rsidRPr="009D0D16">
        <w:rPr>
          <w:lang w:val="en-GB"/>
        </w:rPr>
        <w:t xml:space="preserve">The findings have important implications for how empirical asset pricing models should be interpreted and evaluated. Traditional factor models impose strong restrictions on how information enters the pricing relation. By expressing expected returns as linear functions of a limited number of factors, these models implicitly assume that risk exposures and prices of risk are both low-dimensional and linearly related to observable characteristics. The empirical success of flexible estimation methods suggests that such restrictions may be overly </w:t>
      </w:r>
      <w:r w:rsidR="00D5155E">
        <w:rPr>
          <w:lang w:val="en-GB"/>
        </w:rPr>
        <w:t>restrictive</w:t>
      </w:r>
      <w:r w:rsidRPr="009D0D16">
        <w:rPr>
          <w:lang w:val="en-GB"/>
        </w:rPr>
        <w:t xml:space="preserve">. Poor performance of linear factor models may therefore reflect misspecification of the pricing </w:t>
      </w:r>
      <w:r w:rsidRPr="009D0D16">
        <w:rPr>
          <w:lang w:val="en-GB"/>
        </w:rPr>
        <w:lastRenderedPageBreak/>
        <w:t>function rather than the absence of economically meaningful risk compensation</w:t>
      </w:r>
      <w:r w:rsidR="00D5155E">
        <w:rPr>
          <w:lang w:val="en-GB"/>
        </w:rPr>
        <w:t xml:space="preserve"> (Cochrane, 2005, Ch. 20).</w:t>
      </w:r>
    </w:p>
    <w:p w14:paraId="7234352D" w14:textId="1CC4404A" w:rsidR="00C84E29" w:rsidRPr="009D0D16" w:rsidRDefault="00C84E29" w:rsidP="00C84E29">
      <w:pPr>
        <w:ind w:firstLine="720"/>
        <w:rPr>
          <w:lang w:val="en-GB"/>
        </w:rPr>
      </w:pPr>
      <w:r w:rsidRPr="009D0D16">
        <w:rPr>
          <w:lang w:val="en-GB"/>
        </w:rPr>
        <w:t xml:space="preserve">From this perspective, </w:t>
      </w:r>
      <w:r w:rsidR="006954C5">
        <w:rPr>
          <w:lang w:val="en-GB"/>
        </w:rPr>
        <w:t xml:space="preserve">there may </w:t>
      </w:r>
      <w:r w:rsidR="008A1BFF">
        <w:rPr>
          <w:lang w:val="en-GB"/>
        </w:rPr>
        <w:t xml:space="preserve">be </w:t>
      </w:r>
      <w:r w:rsidR="00A33297">
        <w:rPr>
          <w:lang w:val="en-GB"/>
        </w:rPr>
        <w:t>several</w:t>
      </w:r>
      <w:r w:rsidRPr="009D0D16">
        <w:rPr>
          <w:lang w:val="en-GB"/>
        </w:rPr>
        <w:t xml:space="preserve"> asset pricing anomalies </w:t>
      </w:r>
      <w:r w:rsidR="006954C5">
        <w:rPr>
          <w:lang w:val="en-GB"/>
        </w:rPr>
        <w:t xml:space="preserve">that would not </w:t>
      </w:r>
      <w:r w:rsidRPr="009D0D16">
        <w:rPr>
          <w:lang w:val="en-GB"/>
        </w:rPr>
        <w:t xml:space="preserve">need </w:t>
      </w:r>
      <w:r w:rsidR="006954C5">
        <w:rPr>
          <w:lang w:val="en-GB"/>
        </w:rPr>
        <w:t>to</w:t>
      </w:r>
      <w:r w:rsidRPr="009D0D16">
        <w:rPr>
          <w:lang w:val="en-GB"/>
        </w:rPr>
        <w:t xml:space="preserve"> be interpreted as evidence of mispricing or market inefficiency. Instead, they may arise because linear factor models fail to adequately aggregate information contained in firm characteristics and macroeconomic conditions. The fact that nonlinear models capture return predictability without introducing new economic variables supports the view that anomalies reflect complex interactions among known predictors rather than distinct sources of priced risk. This interpretation aligns with concerns raised in the </w:t>
      </w:r>
      <w:r w:rsidRPr="005B1BF4">
        <w:rPr>
          <w:i/>
          <w:iCs/>
          <w:lang w:val="en-GB"/>
        </w:rPr>
        <w:t>factor zoo literature</w:t>
      </w:r>
      <w:r w:rsidRPr="009D0D16">
        <w:rPr>
          <w:lang w:val="en-GB"/>
        </w:rPr>
        <w:t xml:space="preserve"> about distinguishing genuine risk factors from statistical artifacts </w:t>
      </w:r>
      <w:r w:rsidR="00956DA4">
        <w:rPr>
          <w:lang w:val="en-GB"/>
        </w:rPr>
        <w:t>(</w:t>
      </w:r>
      <w:r w:rsidR="00956DA4" w:rsidRPr="009D0D16">
        <w:rPr>
          <w:lang w:val="en-GB"/>
        </w:rPr>
        <w:t>Harvey, Liu &amp; Zhu</w:t>
      </w:r>
      <w:r w:rsidR="00956DA4">
        <w:rPr>
          <w:lang w:val="en-GB"/>
        </w:rPr>
        <w:t xml:space="preserve">, </w:t>
      </w:r>
      <w:r w:rsidR="00956DA4" w:rsidRPr="009D0D16">
        <w:rPr>
          <w:lang w:val="en-GB"/>
        </w:rPr>
        <w:t>2016</w:t>
      </w:r>
      <w:r w:rsidR="003B02D2">
        <w:rPr>
          <w:lang w:val="en-GB"/>
        </w:rPr>
        <w:t>).</w:t>
      </w:r>
    </w:p>
    <w:p w14:paraId="052A584A" w14:textId="1CD80F33" w:rsidR="00C84E29" w:rsidRPr="009D0D16" w:rsidRDefault="00C32631" w:rsidP="00C84E29">
      <w:pPr>
        <w:ind w:firstLine="720"/>
        <w:rPr>
          <w:lang w:val="en-GB"/>
        </w:rPr>
      </w:pPr>
      <w:r>
        <w:rPr>
          <w:lang w:val="en-GB"/>
        </w:rPr>
        <w:t>Critically</w:t>
      </w:r>
      <w:r w:rsidR="00C84E29" w:rsidRPr="009D0D16">
        <w:rPr>
          <w:lang w:val="en-GB"/>
        </w:rPr>
        <w:t xml:space="preserve">, the framework does not reject factor models outright but nests them as special cases within a more general conditional pricing framework. Factor models remain useful as summaries of systematic variation, particularly when interpretability and economic intuition are prioritized. However, their empirical limitations should be understood </w:t>
      </w:r>
      <w:r w:rsidR="007B054D" w:rsidRPr="009D0D16">
        <w:rPr>
          <w:lang w:val="en-GB"/>
        </w:rPr>
        <w:t>considering</w:t>
      </w:r>
      <w:r w:rsidR="00C84E29" w:rsidRPr="009D0D16">
        <w:rPr>
          <w:lang w:val="en-GB"/>
        </w:rPr>
        <w:t xml:space="preserve"> restrictive assumptions they impose. Standard linear pricing tests may </w:t>
      </w:r>
      <w:r w:rsidR="007B054D">
        <w:rPr>
          <w:lang w:val="en-GB"/>
        </w:rPr>
        <w:t>understate</w:t>
      </w:r>
      <w:r w:rsidR="00C84E29" w:rsidRPr="009D0D16">
        <w:rPr>
          <w:lang w:val="en-GB"/>
        </w:rPr>
        <w:t xml:space="preserve"> the explanatory power of observable information if the true pricing function is nonlinear. By framing empirical asset pricing as a problem of approximating a high-dimensional conditional pricing function, the paper provides a coherent explanation for why return predictability can coexist with no-arbitrage restrictions and stable risk premia.</w:t>
      </w:r>
    </w:p>
    <w:p w14:paraId="4FF9FD68" w14:textId="1914240F" w:rsidR="00262707" w:rsidRPr="009D0D16" w:rsidRDefault="00E11421" w:rsidP="003E05D5">
      <w:pPr>
        <w:pStyle w:val="Heading1"/>
        <w:rPr>
          <w:rFonts w:cs="Times New Roman"/>
        </w:rPr>
      </w:pPr>
      <w:r w:rsidRPr="009D0D16">
        <w:rPr>
          <w:rFonts w:cs="Times New Roman"/>
        </w:rPr>
        <w:t xml:space="preserve">6. </w:t>
      </w:r>
      <w:r w:rsidR="009917DB" w:rsidRPr="009D0D16">
        <w:rPr>
          <w:rFonts w:cs="Times New Roman"/>
        </w:rPr>
        <w:t>Conclusion and Scope for Extension</w:t>
      </w:r>
    </w:p>
    <w:p w14:paraId="49217D4E" w14:textId="7E8F47E5" w:rsidR="00DD21E8" w:rsidRPr="00DD21E8" w:rsidRDefault="00DD21E8" w:rsidP="00DD21E8">
      <w:pPr>
        <w:ind w:firstLine="720"/>
        <w:rPr>
          <w:lang w:val="en-GB"/>
        </w:rPr>
      </w:pPr>
      <w:r w:rsidRPr="00DD21E8">
        <w:rPr>
          <w:lang w:val="en-GB"/>
        </w:rPr>
        <w:t xml:space="preserve">This essay reviewed Gu, Kelly, and Xiu (2020) through the lens of empirical asset pricing, focusing on how expected returns can be </w:t>
      </w:r>
      <w:r w:rsidRPr="00DD21E8">
        <w:rPr>
          <w:lang w:val="en-GB"/>
        </w:rPr>
        <w:t>modelled</w:t>
      </w:r>
      <w:r w:rsidRPr="00DD21E8">
        <w:rPr>
          <w:lang w:val="en-GB"/>
        </w:rPr>
        <w:t xml:space="preserve"> when they depend on a high-dimensional information set. Rather than proposing new risk factors or alternative asset pricing theories, the paper reframes empirical asset pricing as the problem of approximating an unknown conditional pricing function implied by the stochastic discount factor. Within this framework, machine learning methods are introduced as flexible estimation tools that relax restrictive functional form assumptions while preserving the no-arbitrage logic of standard asset pricing models.</w:t>
      </w:r>
    </w:p>
    <w:p w14:paraId="24D0F4AD" w14:textId="77777777" w:rsidR="00DD21E8" w:rsidRPr="00DD21E8" w:rsidRDefault="00DD21E8" w:rsidP="00DD21E8">
      <w:pPr>
        <w:ind w:firstLine="720"/>
        <w:rPr>
          <w:lang w:val="en-GB"/>
        </w:rPr>
      </w:pPr>
      <w:r w:rsidRPr="00DD21E8">
        <w:rPr>
          <w:lang w:val="en-GB"/>
        </w:rPr>
        <w:lastRenderedPageBreak/>
        <w:t>The empirical evidence reviewed suggests that the weak performance of traditional linear factor models may reflect functional form misspecification rather than a lack of economically meaningful information. Flexible estimators are shown to substantially reduce pricing errors, particularly for large and liquid stocks and at the portfolio level, without relying on return innovations or trading strategies. Importantly, the results are broadly consistent with established empirical regularities, reinforcing the interpretation that machine learning complements rather than overturns existing asset pricing insights.</w:t>
      </w:r>
    </w:p>
    <w:p w14:paraId="17C55396" w14:textId="0EC34DC0" w:rsidR="00EF2540" w:rsidRPr="009D0D16" w:rsidRDefault="00DD21E8" w:rsidP="00DD21E8">
      <w:pPr>
        <w:ind w:firstLine="720"/>
        <w:rPr>
          <w:lang w:val="en-GB"/>
        </w:rPr>
      </w:pPr>
      <w:r w:rsidRPr="00DD21E8">
        <w:rPr>
          <w:lang w:val="en-GB"/>
        </w:rPr>
        <w:t>A natural direction for further analysis is to examine how sensitive these conclusions are to alternative information sets, estimation horizons, or restrictions on model flexibility. The empirical extension</w:t>
      </w:r>
      <w:r w:rsidR="00BA13CE">
        <w:rPr>
          <w:lang w:val="en-GB"/>
        </w:rPr>
        <w:t xml:space="preserve"> in</w:t>
      </w:r>
      <w:r w:rsidR="00C34532">
        <w:rPr>
          <w:lang w:val="en-GB"/>
        </w:rPr>
        <w:t xml:space="preserve"> the</w:t>
      </w:r>
      <w:r w:rsidR="00BA13CE">
        <w:rPr>
          <w:lang w:val="en-GB"/>
        </w:rPr>
        <w:t xml:space="preserve"> Appendix</w:t>
      </w:r>
      <w:r w:rsidRPr="00DD21E8">
        <w:rPr>
          <w:lang w:val="en-GB"/>
        </w:rPr>
        <w:t xml:space="preserve"> explores one such dimension by comparing linear and nonlinear approximations to the conditional pricing function under a controlled and transparent design. This extension aims to assess whether the key insights of Gu, Kelly, and Xiu persist under simplified settings and to further clarify the economic interpretation of flexible empirical asset pricing models.</w:t>
      </w:r>
    </w:p>
    <w:p w14:paraId="0F6461C1" w14:textId="6C9B2AC9" w:rsidR="00262707" w:rsidRPr="009D0D16" w:rsidRDefault="00E11421" w:rsidP="003E05D5">
      <w:pPr>
        <w:pStyle w:val="Heading1"/>
        <w:rPr>
          <w:rFonts w:cs="Times New Roman"/>
        </w:rPr>
      </w:pPr>
      <w:r w:rsidRPr="009D0D16">
        <w:rPr>
          <w:rFonts w:cs="Times New Roman"/>
        </w:rPr>
        <w:t xml:space="preserve">7. </w:t>
      </w:r>
      <w:r w:rsidR="00262707" w:rsidRPr="009D0D16">
        <w:rPr>
          <w:rFonts w:cs="Times New Roman"/>
        </w:rPr>
        <w:t>References</w:t>
      </w:r>
    </w:p>
    <w:p w14:paraId="0FFFB16C" w14:textId="4E8FB3F5" w:rsidR="008418C3" w:rsidRPr="008418C3" w:rsidRDefault="008418C3" w:rsidP="008418C3">
      <w:pPr>
        <w:rPr>
          <w:lang w:val="en-GB"/>
        </w:rPr>
      </w:pPr>
      <w:r w:rsidRPr="008418C3">
        <w:rPr>
          <w:lang w:val="en-GB"/>
        </w:rPr>
        <w:t xml:space="preserve">Cochrane, J.H. (2005). </w:t>
      </w:r>
      <w:r w:rsidRPr="008418C3">
        <w:rPr>
          <w:i/>
          <w:iCs/>
          <w:lang w:val="en-GB"/>
        </w:rPr>
        <w:t xml:space="preserve">Asset </w:t>
      </w:r>
      <w:r w:rsidR="004B65AE" w:rsidRPr="008418C3">
        <w:rPr>
          <w:i/>
          <w:iCs/>
          <w:lang w:val="en-GB"/>
        </w:rPr>
        <w:t>Pricing:</w:t>
      </w:r>
      <w:r w:rsidRPr="008418C3">
        <w:rPr>
          <w:i/>
          <w:iCs/>
          <w:lang w:val="en-GB"/>
        </w:rPr>
        <w:t xml:space="preserve"> (Revised Edition)</w:t>
      </w:r>
      <w:r w:rsidRPr="008418C3">
        <w:rPr>
          <w:lang w:val="en-GB"/>
        </w:rPr>
        <w:t>. Princeton: Princeton University Press.</w:t>
      </w:r>
    </w:p>
    <w:p w14:paraId="2D12ADEA" w14:textId="528D4F6F" w:rsidR="004B65AE" w:rsidRPr="008418C3" w:rsidRDefault="008418C3" w:rsidP="008418C3">
      <w:pPr>
        <w:rPr>
          <w:lang w:val="en-GB"/>
        </w:rPr>
      </w:pPr>
      <w:r w:rsidRPr="008418C3">
        <w:rPr>
          <w:lang w:val="en-GB"/>
        </w:rPr>
        <w:t xml:space="preserve">Fama, E.F. and French, K.R. (1993). Common risk factors in the returns on stocks and bonds. </w:t>
      </w:r>
      <w:r w:rsidRPr="008418C3">
        <w:rPr>
          <w:i/>
          <w:iCs/>
          <w:lang w:val="en-GB"/>
        </w:rPr>
        <w:t>Journal of Financial Economics</w:t>
      </w:r>
      <w:r w:rsidRPr="008418C3">
        <w:rPr>
          <w:lang w:val="en-GB"/>
        </w:rPr>
        <w:t xml:space="preserve">, 33(1), pp.3–56. </w:t>
      </w:r>
      <w:proofErr w:type="spellStart"/>
      <w:proofErr w:type="gramStart"/>
      <w:r w:rsidRPr="008418C3">
        <w:rPr>
          <w:lang w:val="en-GB"/>
        </w:rPr>
        <w:t>doi:https</w:t>
      </w:r>
      <w:proofErr w:type="spellEnd"/>
      <w:r w:rsidRPr="008418C3">
        <w:rPr>
          <w:lang w:val="en-GB"/>
        </w:rPr>
        <w:t>://doi.org/10.1016/0304-405X(93)90023-5</w:t>
      </w:r>
      <w:proofErr w:type="gramEnd"/>
      <w:r w:rsidRPr="008418C3">
        <w:rPr>
          <w:lang w:val="en-GB"/>
        </w:rPr>
        <w:t>.</w:t>
      </w:r>
    </w:p>
    <w:p w14:paraId="22E067F2" w14:textId="77777777" w:rsidR="008418C3" w:rsidRPr="008418C3" w:rsidRDefault="008418C3" w:rsidP="008418C3">
      <w:pPr>
        <w:rPr>
          <w:lang w:val="en-GB"/>
        </w:rPr>
      </w:pPr>
      <w:r w:rsidRPr="008418C3">
        <w:rPr>
          <w:lang w:val="en-GB"/>
        </w:rPr>
        <w:t xml:space="preserve">Fama, E.F. and French, K.R. (2015). A five-factor asset pricing model. </w:t>
      </w:r>
      <w:r w:rsidRPr="008418C3">
        <w:rPr>
          <w:i/>
          <w:iCs/>
          <w:lang w:val="en-GB"/>
        </w:rPr>
        <w:t>Journal of Financial Economics</w:t>
      </w:r>
      <w:r w:rsidRPr="008418C3">
        <w:rPr>
          <w:lang w:val="en-GB"/>
        </w:rPr>
        <w:t xml:space="preserve">, 116(1), pp.1–22. </w:t>
      </w:r>
      <w:proofErr w:type="spellStart"/>
      <w:proofErr w:type="gramStart"/>
      <w:r w:rsidRPr="008418C3">
        <w:rPr>
          <w:lang w:val="en-GB"/>
        </w:rPr>
        <w:t>doi:https</w:t>
      </w:r>
      <w:proofErr w:type="spellEnd"/>
      <w:r w:rsidRPr="008418C3">
        <w:rPr>
          <w:lang w:val="en-GB"/>
        </w:rPr>
        <w:t>://doi.org/10.1016/j.jfineco.2014.10.010</w:t>
      </w:r>
      <w:proofErr w:type="gramEnd"/>
      <w:r w:rsidRPr="008418C3">
        <w:rPr>
          <w:lang w:val="en-GB"/>
        </w:rPr>
        <w:t>.</w:t>
      </w:r>
    </w:p>
    <w:p w14:paraId="16007A5F" w14:textId="77777777" w:rsidR="008418C3" w:rsidRPr="008418C3" w:rsidRDefault="008418C3" w:rsidP="008418C3">
      <w:pPr>
        <w:rPr>
          <w:lang w:val="en-GB"/>
        </w:rPr>
      </w:pPr>
      <w:r w:rsidRPr="008418C3">
        <w:rPr>
          <w:lang w:val="en-GB"/>
        </w:rPr>
        <w:t xml:space="preserve">Gu, S., Kelly, B. and Xiu, D. (2020). Empirical Asset Pricing via Machine Learning. </w:t>
      </w:r>
      <w:r w:rsidRPr="008418C3">
        <w:rPr>
          <w:i/>
          <w:iCs/>
          <w:lang w:val="en-GB"/>
        </w:rPr>
        <w:t>The Review of Financial Studies</w:t>
      </w:r>
      <w:r w:rsidRPr="008418C3">
        <w:rPr>
          <w:lang w:val="en-GB"/>
        </w:rPr>
        <w:t xml:space="preserve">, [online] 33(5), pp.2223–2273. </w:t>
      </w:r>
      <w:proofErr w:type="spellStart"/>
      <w:proofErr w:type="gramStart"/>
      <w:r w:rsidRPr="008418C3">
        <w:rPr>
          <w:lang w:val="en-GB"/>
        </w:rPr>
        <w:t>doi:https</w:t>
      </w:r>
      <w:proofErr w:type="spellEnd"/>
      <w:r w:rsidRPr="008418C3">
        <w:rPr>
          <w:lang w:val="en-GB"/>
        </w:rPr>
        <w:t>://doi.org/10.1093/</w:t>
      </w:r>
      <w:proofErr w:type="spellStart"/>
      <w:r w:rsidRPr="008418C3">
        <w:rPr>
          <w:lang w:val="en-GB"/>
        </w:rPr>
        <w:t>rfs</w:t>
      </w:r>
      <w:proofErr w:type="spellEnd"/>
      <w:r w:rsidRPr="008418C3">
        <w:rPr>
          <w:lang w:val="en-GB"/>
        </w:rPr>
        <w:t>/hhaa009</w:t>
      </w:r>
      <w:proofErr w:type="gramEnd"/>
      <w:r w:rsidRPr="008418C3">
        <w:rPr>
          <w:lang w:val="en-GB"/>
        </w:rPr>
        <w:t>.</w:t>
      </w:r>
    </w:p>
    <w:p w14:paraId="3ECCA75F" w14:textId="2FC85DE5" w:rsidR="008418C3" w:rsidRPr="008418C3" w:rsidRDefault="008418C3" w:rsidP="008418C3">
      <w:pPr>
        <w:rPr>
          <w:lang w:val="en-GB"/>
        </w:rPr>
      </w:pPr>
      <w:r w:rsidRPr="008418C3">
        <w:rPr>
          <w:lang w:val="en-GB"/>
        </w:rPr>
        <w:t xml:space="preserve">Harvey, C.R., Liu, Y. and Zhu, H. (2016). … and the Cross-Section of Expected Returns. </w:t>
      </w:r>
      <w:r w:rsidRPr="008418C3">
        <w:rPr>
          <w:i/>
          <w:iCs/>
          <w:lang w:val="en-GB"/>
        </w:rPr>
        <w:t>Review of Financial Studies</w:t>
      </w:r>
      <w:r w:rsidRPr="008418C3">
        <w:rPr>
          <w:lang w:val="en-GB"/>
        </w:rPr>
        <w:t xml:space="preserve">, [online] 29(1), pp.5–68. </w:t>
      </w:r>
      <w:proofErr w:type="spellStart"/>
      <w:proofErr w:type="gramStart"/>
      <w:r w:rsidRPr="008418C3">
        <w:rPr>
          <w:lang w:val="en-GB"/>
        </w:rPr>
        <w:t>doi:https</w:t>
      </w:r>
      <w:proofErr w:type="spellEnd"/>
      <w:r w:rsidRPr="008418C3">
        <w:rPr>
          <w:lang w:val="en-GB"/>
        </w:rPr>
        <w:t>://doi.org/10.1093/</w:t>
      </w:r>
      <w:proofErr w:type="spellStart"/>
      <w:r w:rsidRPr="008418C3">
        <w:rPr>
          <w:lang w:val="en-GB"/>
        </w:rPr>
        <w:t>rfs</w:t>
      </w:r>
      <w:proofErr w:type="spellEnd"/>
      <w:r w:rsidRPr="008418C3">
        <w:rPr>
          <w:lang w:val="en-GB"/>
        </w:rPr>
        <w:t>/hhv059</w:t>
      </w:r>
      <w:proofErr w:type="gramEnd"/>
      <w:r w:rsidRPr="008418C3">
        <w:rPr>
          <w:lang w:val="en-GB"/>
        </w:rPr>
        <w:t>.</w:t>
      </w:r>
    </w:p>
    <w:p w14:paraId="2351BD5E" w14:textId="318E6530" w:rsidR="005C2E81" w:rsidRPr="009D0D16" w:rsidRDefault="00B731CE" w:rsidP="00CD2616">
      <w:pPr>
        <w:pStyle w:val="Heading1"/>
        <w:rPr>
          <w:rFonts w:cs="Times New Roman"/>
        </w:rPr>
      </w:pPr>
      <w:r w:rsidRPr="009D0D16">
        <w:rPr>
          <w:rFonts w:cs="Times New Roman"/>
        </w:rPr>
        <w:t xml:space="preserve">Appendix A: </w:t>
      </w:r>
      <w:r w:rsidRPr="009D0D16">
        <w:rPr>
          <w:rFonts w:cs="Times New Roman"/>
        </w:rPr>
        <w:t>Empirical Extension</w:t>
      </w:r>
    </w:p>
    <w:p w14:paraId="3E32EBDF" w14:textId="7D8A5F02" w:rsidR="00B731CE" w:rsidRPr="009D0D16" w:rsidRDefault="00B731CE" w:rsidP="00B731CE">
      <w:pPr>
        <w:ind w:firstLine="720"/>
      </w:pPr>
      <w:r w:rsidRPr="009D0D16">
        <w:t xml:space="preserve">You can find the documentation and scripts for the empirical extension </w:t>
      </w:r>
      <w:hyperlink r:id="rId8" w:history="1">
        <w:r w:rsidRPr="009D0D16">
          <w:rPr>
            <w:rStyle w:val="Hyperlink"/>
          </w:rPr>
          <w:t>here</w:t>
        </w:r>
      </w:hyperlink>
      <w:r w:rsidRPr="009D0D16">
        <w:t>.</w:t>
      </w:r>
    </w:p>
    <w:sectPr w:rsidR="00B731CE" w:rsidRPr="009D0D16" w:rsidSect="00262707">
      <w:headerReference w:type="default" r:id="rId9"/>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E9AC3" w14:textId="77777777" w:rsidR="00EA2BCA" w:rsidRDefault="00EA2BCA" w:rsidP="003E05D5">
      <w:r>
        <w:separator/>
      </w:r>
    </w:p>
  </w:endnote>
  <w:endnote w:type="continuationSeparator" w:id="0">
    <w:p w14:paraId="5624AFE7" w14:textId="77777777" w:rsidR="00EA2BCA" w:rsidRDefault="00EA2BCA" w:rsidP="003E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D2AAC" w14:textId="77777777" w:rsidR="00EA2BCA" w:rsidRDefault="00EA2BCA" w:rsidP="003E05D5">
      <w:r>
        <w:separator/>
      </w:r>
    </w:p>
  </w:footnote>
  <w:footnote w:type="continuationSeparator" w:id="0">
    <w:p w14:paraId="383A1EAC" w14:textId="77777777" w:rsidR="00EA2BCA" w:rsidRDefault="00EA2BCA" w:rsidP="003E0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3544505"/>
      <w:docPartObj>
        <w:docPartGallery w:val="Page Numbers (Top of Page)"/>
        <w:docPartUnique/>
      </w:docPartObj>
    </w:sdtPr>
    <w:sdtEndPr>
      <w:rPr>
        <w:noProof/>
      </w:rPr>
    </w:sdtEndPr>
    <w:sdtContent>
      <w:p w14:paraId="2446E403" w14:textId="5273085D" w:rsidR="00251EE2" w:rsidRDefault="00251EE2" w:rsidP="003E05D5">
        <w:pPr>
          <w:pStyle w:val="Header"/>
        </w:pPr>
        <w:r>
          <w:fldChar w:fldCharType="begin"/>
        </w:r>
        <w:r>
          <w:instrText xml:space="preserve"> PAGE   \* MERGEFORMAT </w:instrText>
        </w:r>
        <w:r>
          <w:fldChar w:fldCharType="separate"/>
        </w:r>
        <w:r>
          <w:rPr>
            <w:noProof/>
          </w:rPr>
          <w:t>2</w:t>
        </w:r>
        <w:r>
          <w:rPr>
            <w:noProof/>
          </w:rPr>
          <w:fldChar w:fldCharType="end"/>
        </w:r>
      </w:p>
    </w:sdtContent>
  </w:sdt>
  <w:p w14:paraId="7C5F3508" w14:textId="64BB8D2C" w:rsidR="00262707" w:rsidRDefault="00262707" w:rsidP="003E05D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E6F8C"/>
    <w:multiLevelType w:val="hybridMultilevel"/>
    <w:tmpl w:val="52DC35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AFF4E79"/>
    <w:multiLevelType w:val="hybridMultilevel"/>
    <w:tmpl w:val="9A5C3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05839056">
    <w:abstractNumId w:val="0"/>
  </w:num>
  <w:num w:numId="2" w16cid:durableId="15532752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D5"/>
    <w:rsid w:val="00000B3D"/>
    <w:rsid w:val="00002D2E"/>
    <w:rsid w:val="0000791C"/>
    <w:rsid w:val="00010028"/>
    <w:rsid w:val="0001606F"/>
    <w:rsid w:val="0002433C"/>
    <w:rsid w:val="00025088"/>
    <w:rsid w:val="000460CE"/>
    <w:rsid w:val="00067035"/>
    <w:rsid w:val="000672B8"/>
    <w:rsid w:val="000766E6"/>
    <w:rsid w:val="000823C5"/>
    <w:rsid w:val="00083A65"/>
    <w:rsid w:val="00087C4B"/>
    <w:rsid w:val="0009246F"/>
    <w:rsid w:val="000A216D"/>
    <w:rsid w:val="000A523F"/>
    <w:rsid w:val="000B3590"/>
    <w:rsid w:val="000C0112"/>
    <w:rsid w:val="000C567E"/>
    <w:rsid w:val="000D41EC"/>
    <w:rsid w:val="000E15D8"/>
    <w:rsid w:val="000E3E3C"/>
    <w:rsid w:val="000E5277"/>
    <w:rsid w:val="000F2683"/>
    <w:rsid w:val="001016BE"/>
    <w:rsid w:val="0011310D"/>
    <w:rsid w:val="001168BC"/>
    <w:rsid w:val="001204D9"/>
    <w:rsid w:val="00124E21"/>
    <w:rsid w:val="0013538C"/>
    <w:rsid w:val="00144647"/>
    <w:rsid w:val="00152D17"/>
    <w:rsid w:val="00155134"/>
    <w:rsid w:val="001604B4"/>
    <w:rsid w:val="001727C2"/>
    <w:rsid w:val="00181A5B"/>
    <w:rsid w:val="001A17E5"/>
    <w:rsid w:val="001B09BF"/>
    <w:rsid w:val="001B0AF8"/>
    <w:rsid w:val="001B125F"/>
    <w:rsid w:val="001B340C"/>
    <w:rsid w:val="001D3481"/>
    <w:rsid w:val="001D70A3"/>
    <w:rsid w:val="001F2937"/>
    <w:rsid w:val="002010EE"/>
    <w:rsid w:val="0021083E"/>
    <w:rsid w:val="00225A16"/>
    <w:rsid w:val="00226735"/>
    <w:rsid w:val="00227054"/>
    <w:rsid w:val="00234732"/>
    <w:rsid w:val="00241E7B"/>
    <w:rsid w:val="00244A98"/>
    <w:rsid w:val="00246F08"/>
    <w:rsid w:val="00250C4B"/>
    <w:rsid w:val="00251EE2"/>
    <w:rsid w:val="00255D65"/>
    <w:rsid w:val="002560F2"/>
    <w:rsid w:val="00262707"/>
    <w:rsid w:val="002643A5"/>
    <w:rsid w:val="00264F31"/>
    <w:rsid w:val="00266B19"/>
    <w:rsid w:val="00277885"/>
    <w:rsid w:val="0028757F"/>
    <w:rsid w:val="00292473"/>
    <w:rsid w:val="002A0460"/>
    <w:rsid w:val="002A645A"/>
    <w:rsid w:val="002A6BAB"/>
    <w:rsid w:val="002B32FD"/>
    <w:rsid w:val="002C3D1C"/>
    <w:rsid w:val="002C3D37"/>
    <w:rsid w:val="002C6FEB"/>
    <w:rsid w:val="002D26A8"/>
    <w:rsid w:val="002E0C92"/>
    <w:rsid w:val="002F02E5"/>
    <w:rsid w:val="002F2D8E"/>
    <w:rsid w:val="00304534"/>
    <w:rsid w:val="0030789A"/>
    <w:rsid w:val="00310EAD"/>
    <w:rsid w:val="00324800"/>
    <w:rsid w:val="00327EF1"/>
    <w:rsid w:val="00331452"/>
    <w:rsid w:val="00331843"/>
    <w:rsid w:val="003358C0"/>
    <w:rsid w:val="00343066"/>
    <w:rsid w:val="00357473"/>
    <w:rsid w:val="0035765D"/>
    <w:rsid w:val="00362B13"/>
    <w:rsid w:val="003806E3"/>
    <w:rsid w:val="00381F24"/>
    <w:rsid w:val="00387E6D"/>
    <w:rsid w:val="003A60F4"/>
    <w:rsid w:val="003A73F2"/>
    <w:rsid w:val="003B02D2"/>
    <w:rsid w:val="003B129B"/>
    <w:rsid w:val="003B6BBC"/>
    <w:rsid w:val="003C7F56"/>
    <w:rsid w:val="003D1FC8"/>
    <w:rsid w:val="003D7701"/>
    <w:rsid w:val="003E05D5"/>
    <w:rsid w:val="003F03E6"/>
    <w:rsid w:val="003F0865"/>
    <w:rsid w:val="003F6FAA"/>
    <w:rsid w:val="00411D42"/>
    <w:rsid w:val="00413420"/>
    <w:rsid w:val="00416E3A"/>
    <w:rsid w:val="00421FD1"/>
    <w:rsid w:val="00422614"/>
    <w:rsid w:val="00422C79"/>
    <w:rsid w:val="00424915"/>
    <w:rsid w:val="00432DEF"/>
    <w:rsid w:val="0044357E"/>
    <w:rsid w:val="00453775"/>
    <w:rsid w:val="00462F6A"/>
    <w:rsid w:val="00471170"/>
    <w:rsid w:val="00471376"/>
    <w:rsid w:val="004713C4"/>
    <w:rsid w:val="0047482A"/>
    <w:rsid w:val="0048297E"/>
    <w:rsid w:val="0048706A"/>
    <w:rsid w:val="004A230A"/>
    <w:rsid w:val="004B5741"/>
    <w:rsid w:val="004B65AE"/>
    <w:rsid w:val="004C17F8"/>
    <w:rsid w:val="004C56ED"/>
    <w:rsid w:val="004C7241"/>
    <w:rsid w:val="004D26D3"/>
    <w:rsid w:val="00503B1A"/>
    <w:rsid w:val="00512861"/>
    <w:rsid w:val="00533FEF"/>
    <w:rsid w:val="00535C0F"/>
    <w:rsid w:val="0054716F"/>
    <w:rsid w:val="00586F74"/>
    <w:rsid w:val="005A24CC"/>
    <w:rsid w:val="005B1BF4"/>
    <w:rsid w:val="005B2358"/>
    <w:rsid w:val="005B2AB2"/>
    <w:rsid w:val="005B5BEE"/>
    <w:rsid w:val="005C2E81"/>
    <w:rsid w:val="005C650F"/>
    <w:rsid w:val="005C75E5"/>
    <w:rsid w:val="005C7C76"/>
    <w:rsid w:val="005E395F"/>
    <w:rsid w:val="005F1823"/>
    <w:rsid w:val="005F4407"/>
    <w:rsid w:val="005F48F9"/>
    <w:rsid w:val="006007DB"/>
    <w:rsid w:val="00605425"/>
    <w:rsid w:val="0060651E"/>
    <w:rsid w:val="00606704"/>
    <w:rsid w:val="00612556"/>
    <w:rsid w:val="00613197"/>
    <w:rsid w:val="0061479D"/>
    <w:rsid w:val="0062340B"/>
    <w:rsid w:val="00623448"/>
    <w:rsid w:val="00646E1D"/>
    <w:rsid w:val="00667A42"/>
    <w:rsid w:val="00673971"/>
    <w:rsid w:val="00676563"/>
    <w:rsid w:val="00677EE5"/>
    <w:rsid w:val="0068091D"/>
    <w:rsid w:val="00690F79"/>
    <w:rsid w:val="006954C5"/>
    <w:rsid w:val="006C2F71"/>
    <w:rsid w:val="006C50DF"/>
    <w:rsid w:val="006D18AC"/>
    <w:rsid w:val="006D254F"/>
    <w:rsid w:val="006D41E2"/>
    <w:rsid w:val="006D44B8"/>
    <w:rsid w:val="006D5E47"/>
    <w:rsid w:val="006D74BA"/>
    <w:rsid w:val="006E0155"/>
    <w:rsid w:val="006E5F78"/>
    <w:rsid w:val="0071486F"/>
    <w:rsid w:val="00731B94"/>
    <w:rsid w:val="00750E73"/>
    <w:rsid w:val="007519BA"/>
    <w:rsid w:val="0075701E"/>
    <w:rsid w:val="00762699"/>
    <w:rsid w:val="007640C5"/>
    <w:rsid w:val="00765085"/>
    <w:rsid w:val="0077021C"/>
    <w:rsid w:val="0077282C"/>
    <w:rsid w:val="00785A0F"/>
    <w:rsid w:val="00793DE9"/>
    <w:rsid w:val="00796B7F"/>
    <w:rsid w:val="007A216E"/>
    <w:rsid w:val="007B054D"/>
    <w:rsid w:val="007B1134"/>
    <w:rsid w:val="007B69CE"/>
    <w:rsid w:val="007C0EFB"/>
    <w:rsid w:val="007D6A34"/>
    <w:rsid w:val="007E18A0"/>
    <w:rsid w:val="007E4E3D"/>
    <w:rsid w:val="007F43AB"/>
    <w:rsid w:val="007F45B3"/>
    <w:rsid w:val="007F7B75"/>
    <w:rsid w:val="00807667"/>
    <w:rsid w:val="008141E9"/>
    <w:rsid w:val="0081660C"/>
    <w:rsid w:val="00832A30"/>
    <w:rsid w:val="00833427"/>
    <w:rsid w:val="00835EFE"/>
    <w:rsid w:val="00836F49"/>
    <w:rsid w:val="008414A2"/>
    <w:rsid w:val="008418C3"/>
    <w:rsid w:val="008454EC"/>
    <w:rsid w:val="008475AF"/>
    <w:rsid w:val="0085300B"/>
    <w:rsid w:val="00853939"/>
    <w:rsid w:val="00885365"/>
    <w:rsid w:val="00896A90"/>
    <w:rsid w:val="008A1BFF"/>
    <w:rsid w:val="008A4112"/>
    <w:rsid w:val="008B28EA"/>
    <w:rsid w:val="008E6804"/>
    <w:rsid w:val="008F0D16"/>
    <w:rsid w:val="008F1A64"/>
    <w:rsid w:val="008F2C46"/>
    <w:rsid w:val="008F4983"/>
    <w:rsid w:val="008F6380"/>
    <w:rsid w:val="009007C8"/>
    <w:rsid w:val="0091172E"/>
    <w:rsid w:val="00911F66"/>
    <w:rsid w:val="009248A3"/>
    <w:rsid w:val="00925806"/>
    <w:rsid w:val="009258AA"/>
    <w:rsid w:val="00934D17"/>
    <w:rsid w:val="00943904"/>
    <w:rsid w:val="00946107"/>
    <w:rsid w:val="009477A4"/>
    <w:rsid w:val="00950796"/>
    <w:rsid w:val="00953A2C"/>
    <w:rsid w:val="00956385"/>
    <w:rsid w:val="00956DA4"/>
    <w:rsid w:val="009800A8"/>
    <w:rsid w:val="00981935"/>
    <w:rsid w:val="0099086D"/>
    <w:rsid w:val="00991087"/>
    <w:rsid w:val="009917DB"/>
    <w:rsid w:val="009A0571"/>
    <w:rsid w:val="009A0CEF"/>
    <w:rsid w:val="009A1418"/>
    <w:rsid w:val="009B48D5"/>
    <w:rsid w:val="009B74FC"/>
    <w:rsid w:val="009C35F4"/>
    <w:rsid w:val="009D0D16"/>
    <w:rsid w:val="009D1B6E"/>
    <w:rsid w:val="009E4605"/>
    <w:rsid w:val="009E663A"/>
    <w:rsid w:val="009E7833"/>
    <w:rsid w:val="009F064F"/>
    <w:rsid w:val="009F07F1"/>
    <w:rsid w:val="009F2DA1"/>
    <w:rsid w:val="00A0673E"/>
    <w:rsid w:val="00A11CE1"/>
    <w:rsid w:val="00A159D4"/>
    <w:rsid w:val="00A16B1A"/>
    <w:rsid w:val="00A17992"/>
    <w:rsid w:val="00A23B55"/>
    <w:rsid w:val="00A26E4E"/>
    <w:rsid w:val="00A33297"/>
    <w:rsid w:val="00A3715C"/>
    <w:rsid w:val="00A42635"/>
    <w:rsid w:val="00A43BFE"/>
    <w:rsid w:val="00A61466"/>
    <w:rsid w:val="00A62C2B"/>
    <w:rsid w:val="00A7737F"/>
    <w:rsid w:val="00A90034"/>
    <w:rsid w:val="00A92880"/>
    <w:rsid w:val="00A935DE"/>
    <w:rsid w:val="00A94A57"/>
    <w:rsid w:val="00A97A91"/>
    <w:rsid w:val="00AA48B4"/>
    <w:rsid w:val="00AA609A"/>
    <w:rsid w:val="00AC5DD8"/>
    <w:rsid w:val="00AD2EC2"/>
    <w:rsid w:val="00AF6D01"/>
    <w:rsid w:val="00B018AC"/>
    <w:rsid w:val="00B0213A"/>
    <w:rsid w:val="00B026C5"/>
    <w:rsid w:val="00B028B0"/>
    <w:rsid w:val="00B04E0C"/>
    <w:rsid w:val="00B10B7A"/>
    <w:rsid w:val="00B113A1"/>
    <w:rsid w:val="00B144F1"/>
    <w:rsid w:val="00B17087"/>
    <w:rsid w:val="00B3321B"/>
    <w:rsid w:val="00B348BD"/>
    <w:rsid w:val="00B43C09"/>
    <w:rsid w:val="00B511A7"/>
    <w:rsid w:val="00B63ACC"/>
    <w:rsid w:val="00B704A3"/>
    <w:rsid w:val="00B731CE"/>
    <w:rsid w:val="00B77B75"/>
    <w:rsid w:val="00B81AC2"/>
    <w:rsid w:val="00B865F0"/>
    <w:rsid w:val="00B86C35"/>
    <w:rsid w:val="00BA13CE"/>
    <w:rsid w:val="00BA420F"/>
    <w:rsid w:val="00BA7210"/>
    <w:rsid w:val="00BB011A"/>
    <w:rsid w:val="00BB0C92"/>
    <w:rsid w:val="00BB7D5E"/>
    <w:rsid w:val="00BC1D38"/>
    <w:rsid w:val="00BE495F"/>
    <w:rsid w:val="00C03353"/>
    <w:rsid w:val="00C078BE"/>
    <w:rsid w:val="00C118D8"/>
    <w:rsid w:val="00C15A8F"/>
    <w:rsid w:val="00C236FA"/>
    <w:rsid w:val="00C23877"/>
    <w:rsid w:val="00C258A7"/>
    <w:rsid w:val="00C26852"/>
    <w:rsid w:val="00C32631"/>
    <w:rsid w:val="00C33174"/>
    <w:rsid w:val="00C34174"/>
    <w:rsid w:val="00C34532"/>
    <w:rsid w:val="00C36BF6"/>
    <w:rsid w:val="00C40EAC"/>
    <w:rsid w:val="00C42DD7"/>
    <w:rsid w:val="00C625FD"/>
    <w:rsid w:val="00C65515"/>
    <w:rsid w:val="00C800C3"/>
    <w:rsid w:val="00C82171"/>
    <w:rsid w:val="00C84E29"/>
    <w:rsid w:val="00C90874"/>
    <w:rsid w:val="00CA4219"/>
    <w:rsid w:val="00CA4890"/>
    <w:rsid w:val="00CB1603"/>
    <w:rsid w:val="00CB4D25"/>
    <w:rsid w:val="00CC2405"/>
    <w:rsid w:val="00CC7A78"/>
    <w:rsid w:val="00CD2616"/>
    <w:rsid w:val="00CD3218"/>
    <w:rsid w:val="00CE3D4F"/>
    <w:rsid w:val="00CE5F0A"/>
    <w:rsid w:val="00CF0271"/>
    <w:rsid w:val="00CF0E40"/>
    <w:rsid w:val="00D165D7"/>
    <w:rsid w:val="00D165F6"/>
    <w:rsid w:val="00D20E30"/>
    <w:rsid w:val="00D31D17"/>
    <w:rsid w:val="00D37334"/>
    <w:rsid w:val="00D41A20"/>
    <w:rsid w:val="00D46EDD"/>
    <w:rsid w:val="00D5155E"/>
    <w:rsid w:val="00D52208"/>
    <w:rsid w:val="00D63428"/>
    <w:rsid w:val="00DA367D"/>
    <w:rsid w:val="00DA767A"/>
    <w:rsid w:val="00DB1DCE"/>
    <w:rsid w:val="00DB51E7"/>
    <w:rsid w:val="00DC02B4"/>
    <w:rsid w:val="00DC418D"/>
    <w:rsid w:val="00DD21E8"/>
    <w:rsid w:val="00DD6DAB"/>
    <w:rsid w:val="00DE0B7F"/>
    <w:rsid w:val="00DE4F02"/>
    <w:rsid w:val="00DE6133"/>
    <w:rsid w:val="00DF2CD0"/>
    <w:rsid w:val="00DF4024"/>
    <w:rsid w:val="00E0492E"/>
    <w:rsid w:val="00E059B6"/>
    <w:rsid w:val="00E11421"/>
    <w:rsid w:val="00E1466B"/>
    <w:rsid w:val="00E276DD"/>
    <w:rsid w:val="00E65597"/>
    <w:rsid w:val="00E83455"/>
    <w:rsid w:val="00E90389"/>
    <w:rsid w:val="00E96DCE"/>
    <w:rsid w:val="00EA2BCA"/>
    <w:rsid w:val="00EA4832"/>
    <w:rsid w:val="00EB2985"/>
    <w:rsid w:val="00EB39A4"/>
    <w:rsid w:val="00EC5C88"/>
    <w:rsid w:val="00ED2DF6"/>
    <w:rsid w:val="00ED407E"/>
    <w:rsid w:val="00EE21B5"/>
    <w:rsid w:val="00EE6B3E"/>
    <w:rsid w:val="00EF2540"/>
    <w:rsid w:val="00EF357B"/>
    <w:rsid w:val="00EF612D"/>
    <w:rsid w:val="00EF7C7E"/>
    <w:rsid w:val="00F00A10"/>
    <w:rsid w:val="00F01ACF"/>
    <w:rsid w:val="00F04EF6"/>
    <w:rsid w:val="00F04F3D"/>
    <w:rsid w:val="00F12BBF"/>
    <w:rsid w:val="00F156F7"/>
    <w:rsid w:val="00F15CA5"/>
    <w:rsid w:val="00F162A5"/>
    <w:rsid w:val="00F225A8"/>
    <w:rsid w:val="00F24C9D"/>
    <w:rsid w:val="00F52C08"/>
    <w:rsid w:val="00F623C3"/>
    <w:rsid w:val="00F70263"/>
    <w:rsid w:val="00F7121C"/>
    <w:rsid w:val="00F775FB"/>
    <w:rsid w:val="00F852AB"/>
    <w:rsid w:val="00F903A1"/>
    <w:rsid w:val="00F9429A"/>
    <w:rsid w:val="00F97959"/>
    <w:rsid w:val="00FA0087"/>
    <w:rsid w:val="00FA69B9"/>
    <w:rsid w:val="00FA7A65"/>
    <w:rsid w:val="00FB2045"/>
    <w:rsid w:val="00FB638C"/>
    <w:rsid w:val="00FC0A18"/>
    <w:rsid w:val="00FC4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21FEE"/>
  <w15:chartTrackingRefBased/>
  <w15:docId w15:val="{94C74B42-EE4C-446F-8B38-588CAA331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D5"/>
    <w:pPr>
      <w:spacing w:line="360" w:lineRule="auto"/>
    </w:pPr>
    <w:rPr>
      <w:rFonts w:ascii="Times New Roman" w:hAnsi="Times New Roman" w:cs="Times New Roman"/>
    </w:rPr>
  </w:style>
  <w:style w:type="paragraph" w:styleId="Heading1">
    <w:name w:val="heading 1"/>
    <w:basedOn w:val="Normal"/>
    <w:next w:val="Normal"/>
    <w:link w:val="Heading1Char"/>
    <w:uiPriority w:val="9"/>
    <w:qFormat/>
    <w:rsid w:val="003806E3"/>
    <w:pPr>
      <w:keepNext/>
      <w:keepLines/>
      <w:spacing w:before="360" w:after="80"/>
      <w:jc w:val="center"/>
      <w:outlineLvl w:val="0"/>
    </w:pPr>
    <w:rPr>
      <w:rFonts w:eastAsiaTheme="majorEastAsia" w:cstheme="majorBidi"/>
      <w:b/>
      <w:bCs/>
    </w:rPr>
  </w:style>
  <w:style w:type="paragraph" w:styleId="Heading2">
    <w:name w:val="heading 2"/>
    <w:basedOn w:val="Normal"/>
    <w:next w:val="Normal"/>
    <w:link w:val="Heading2Char"/>
    <w:uiPriority w:val="9"/>
    <w:unhideWhenUsed/>
    <w:qFormat/>
    <w:rsid w:val="000C567E"/>
    <w:pPr>
      <w:outlineLvl w:val="1"/>
    </w:pPr>
    <w:rPr>
      <w:b/>
      <w:bCs/>
    </w:rPr>
  </w:style>
  <w:style w:type="paragraph" w:styleId="Heading3">
    <w:name w:val="heading 3"/>
    <w:basedOn w:val="Normal"/>
    <w:next w:val="Normal"/>
    <w:link w:val="Heading3Char"/>
    <w:uiPriority w:val="9"/>
    <w:unhideWhenUsed/>
    <w:qFormat/>
    <w:rsid w:val="00EF612D"/>
    <w:pPr>
      <w:outlineLvl w:val="2"/>
    </w:pPr>
    <w:rPr>
      <w:b/>
      <w:bCs/>
      <w:i/>
      <w:iCs/>
      <w:lang w:val="en-GB"/>
    </w:rPr>
  </w:style>
  <w:style w:type="paragraph" w:styleId="Heading4">
    <w:name w:val="heading 4"/>
    <w:basedOn w:val="Normal"/>
    <w:next w:val="Normal"/>
    <w:link w:val="Heading4Char"/>
    <w:uiPriority w:val="9"/>
    <w:semiHidden/>
    <w:unhideWhenUsed/>
    <w:qFormat/>
    <w:rsid w:val="009B4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6E3"/>
    <w:rPr>
      <w:rFonts w:ascii="Times New Roman" w:eastAsiaTheme="majorEastAsia" w:hAnsi="Times New Roman" w:cstheme="majorBidi"/>
      <w:b/>
      <w:bCs/>
    </w:rPr>
  </w:style>
  <w:style w:type="character" w:customStyle="1" w:styleId="Heading2Char">
    <w:name w:val="Heading 2 Char"/>
    <w:basedOn w:val="DefaultParagraphFont"/>
    <w:link w:val="Heading2"/>
    <w:uiPriority w:val="9"/>
    <w:rsid w:val="000C567E"/>
    <w:rPr>
      <w:rFonts w:ascii="Times New Roman" w:hAnsi="Times New Roman" w:cs="Times New Roman"/>
      <w:b/>
      <w:bCs/>
    </w:rPr>
  </w:style>
  <w:style w:type="character" w:customStyle="1" w:styleId="Heading3Char">
    <w:name w:val="Heading 3 Char"/>
    <w:basedOn w:val="DefaultParagraphFont"/>
    <w:link w:val="Heading3"/>
    <w:uiPriority w:val="9"/>
    <w:rsid w:val="00EF612D"/>
    <w:rPr>
      <w:rFonts w:ascii="Times New Roman" w:hAnsi="Times New Roman" w:cs="Times New Roman"/>
      <w:b/>
      <w:bCs/>
      <w:i/>
      <w:iCs/>
      <w:lang w:val="en-GB"/>
    </w:rPr>
  </w:style>
  <w:style w:type="character" w:customStyle="1" w:styleId="Heading4Char">
    <w:name w:val="Heading 4 Char"/>
    <w:basedOn w:val="DefaultParagraphFont"/>
    <w:link w:val="Heading4"/>
    <w:uiPriority w:val="9"/>
    <w:semiHidden/>
    <w:rsid w:val="009B4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8D5"/>
    <w:rPr>
      <w:rFonts w:eastAsiaTheme="majorEastAsia" w:cstheme="majorBidi"/>
      <w:color w:val="272727" w:themeColor="text1" w:themeTint="D8"/>
    </w:rPr>
  </w:style>
  <w:style w:type="paragraph" w:styleId="Title">
    <w:name w:val="Title"/>
    <w:basedOn w:val="Normal"/>
    <w:next w:val="Normal"/>
    <w:link w:val="TitleChar"/>
    <w:uiPriority w:val="10"/>
    <w:qFormat/>
    <w:rsid w:val="00991087"/>
    <w:pPr>
      <w:jc w:val="center"/>
    </w:pPr>
    <w:rPr>
      <w:b/>
      <w:bCs/>
    </w:rPr>
  </w:style>
  <w:style w:type="character" w:customStyle="1" w:styleId="TitleChar">
    <w:name w:val="Title Char"/>
    <w:basedOn w:val="DefaultParagraphFont"/>
    <w:link w:val="Title"/>
    <w:uiPriority w:val="10"/>
    <w:rsid w:val="00991087"/>
    <w:rPr>
      <w:rFonts w:ascii="Times New Roman" w:hAnsi="Times New Roman" w:cs="Times New Roman"/>
      <w:b/>
      <w:bCs/>
    </w:rPr>
  </w:style>
  <w:style w:type="paragraph" w:styleId="Subtitle">
    <w:name w:val="Subtitle"/>
    <w:basedOn w:val="Normal"/>
    <w:next w:val="Normal"/>
    <w:link w:val="SubtitleChar"/>
    <w:uiPriority w:val="11"/>
    <w:qFormat/>
    <w:rsid w:val="008F2C46"/>
    <w:pPr>
      <w:numPr>
        <w:ilvl w:val="1"/>
      </w:numPr>
    </w:pPr>
    <w:rPr>
      <w:rFonts w:eastAsiaTheme="majorEastAsia"/>
      <w:spacing w:val="15"/>
      <w:sz w:val="28"/>
      <w:szCs w:val="28"/>
    </w:rPr>
  </w:style>
  <w:style w:type="character" w:customStyle="1" w:styleId="SubtitleChar">
    <w:name w:val="Subtitle Char"/>
    <w:basedOn w:val="DefaultParagraphFont"/>
    <w:link w:val="Subtitle"/>
    <w:uiPriority w:val="11"/>
    <w:rsid w:val="008F2C46"/>
    <w:rPr>
      <w:rFonts w:ascii="Times New Roman" w:eastAsiaTheme="majorEastAsia" w:hAnsi="Times New Roman" w:cs="Times New Roman"/>
      <w:spacing w:val="15"/>
      <w:sz w:val="28"/>
      <w:szCs w:val="28"/>
    </w:rPr>
  </w:style>
  <w:style w:type="paragraph" w:styleId="Quote">
    <w:name w:val="Quote"/>
    <w:basedOn w:val="Normal"/>
    <w:next w:val="Normal"/>
    <w:link w:val="QuoteChar"/>
    <w:uiPriority w:val="29"/>
    <w:qFormat/>
    <w:rsid w:val="009B48D5"/>
    <w:pPr>
      <w:spacing w:before="160"/>
      <w:jc w:val="center"/>
    </w:pPr>
    <w:rPr>
      <w:i/>
      <w:iCs/>
      <w:color w:val="404040" w:themeColor="text1" w:themeTint="BF"/>
    </w:rPr>
  </w:style>
  <w:style w:type="character" w:customStyle="1" w:styleId="QuoteChar">
    <w:name w:val="Quote Char"/>
    <w:basedOn w:val="DefaultParagraphFont"/>
    <w:link w:val="Quote"/>
    <w:uiPriority w:val="29"/>
    <w:rsid w:val="009B48D5"/>
    <w:rPr>
      <w:i/>
      <w:iCs/>
      <w:color w:val="404040" w:themeColor="text1" w:themeTint="BF"/>
    </w:rPr>
  </w:style>
  <w:style w:type="paragraph" w:styleId="ListParagraph">
    <w:name w:val="List Paragraph"/>
    <w:basedOn w:val="Normal"/>
    <w:uiPriority w:val="34"/>
    <w:qFormat/>
    <w:rsid w:val="009B48D5"/>
    <w:pPr>
      <w:ind w:left="720"/>
      <w:contextualSpacing/>
    </w:pPr>
  </w:style>
  <w:style w:type="character" w:styleId="IntenseEmphasis">
    <w:name w:val="Intense Emphasis"/>
    <w:basedOn w:val="DefaultParagraphFont"/>
    <w:uiPriority w:val="21"/>
    <w:qFormat/>
    <w:rsid w:val="009B48D5"/>
    <w:rPr>
      <w:i/>
      <w:iCs/>
      <w:color w:val="0F4761" w:themeColor="accent1" w:themeShade="BF"/>
    </w:rPr>
  </w:style>
  <w:style w:type="paragraph" w:styleId="IntenseQuote">
    <w:name w:val="Intense Quote"/>
    <w:basedOn w:val="Normal"/>
    <w:next w:val="Normal"/>
    <w:link w:val="IntenseQuoteChar"/>
    <w:uiPriority w:val="30"/>
    <w:qFormat/>
    <w:rsid w:val="009B4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8D5"/>
    <w:rPr>
      <w:i/>
      <w:iCs/>
      <w:color w:val="0F4761" w:themeColor="accent1" w:themeShade="BF"/>
    </w:rPr>
  </w:style>
  <w:style w:type="character" w:styleId="IntenseReference">
    <w:name w:val="Intense Reference"/>
    <w:basedOn w:val="DefaultParagraphFont"/>
    <w:uiPriority w:val="32"/>
    <w:qFormat/>
    <w:rsid w:val="009B48D5"/>
    <w:rPr>
      <w:b/>
      <w:bCs/>
      <w:smallCaps/>
      <w:color w:val="0F4761" w:themeColor="accent1" w:themeShade="BF"/>
      <w:spacing w:val="5"/>
    </w:rPr>
  </w:style>
  <w:style w:type="paragraph" w:styleId="Header">
    <w:name w:val="header"/>
    <w:basedOn w:val="Normal"/>
    <w:link w:val="HeaderChar"/>
    <w:uiPriority w:val="99"/>
    <w:unhideWhenUsed/>
    <w:rsid w:val="002627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707"/>
  </w:style>
  <w:style w:type="paragraph" w:styleId="Footer">
    <w:name w:val="footer"/>
    <w:basedOn w:val="Normal"/>
    <w:link w:val="FooterChar"/>
    <w:uiPriority w:val="99"/>
    <w:unhideWhenUsed/>
    <w:rsid w:val="00262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707"/>
  </w:style>
  <w:style w:type="character" w:styleId="PlaceholderText">
    <w:name w:val="Placeholder Text"/>
    <w:basedOn w:val="DefaultParagraphFont"/>
    <w:uiPriority w:val="99"/>
    <w:semiHidden/>
    <w:rsid w:val="003806E3"/>
    <w:rPr>
      <w:color w:val="666666"/>
    </w:rPr>
  </w:style>
  <w:style w:type="character" w:styleId="Hyperlink">
    <w:name w:val="Hyperlink"/>
    <w:basedOn w:val="DefaultParagraphFont"/>
    <w:uiPriority w:val="99"/>
    <w:unhideWhenUsed/>
    <w:rsid w:val="005C75E5"/>
    <w:rPr>
      <w:color w:val="467886" w:themeColor="hyperlink"/>
      <w:u w:val="single"/>
    </w:rPr>
  </w:style>
  <w:style w:type="character" w:styleId="UnresolvedMention">
    <w:name w:val="Unresolved Mention"/>
    <w:basedOn w:val="DefaultParagraphFont"/>
    <w:uiPriority w:val="99"/>
    <w:semiHidden/>
    <w:unhideWhenUsed/>
    <w:rsid w:val="005C75E5"/>
    <w:rPr>
      <w:color w:val="605E5C"/>
      <w:shd w:val="clear" w:color="auto" w:fill="E1DFDD"/>
    </w:rPr>
  </w:style>
  <w:style w:type="character" w:styleId="CommentReference">
    <w:name w:val="annotation reference"/>
    <w:basedOn w:val="DefaultParagraphFont"/>
    <w:uiPriority w:val="99"/>
    <w:semiHidden/>
    <w:unhideWhenUsed/>
    <w:rsid w:val="00A7737F"/>
    <w:rPr>
      <w:sz w:val="16"/>
      <w:szCs w:val="16"/>
    </w:rPr>
  </w:style>
  <w:style w:type="paragraph" w:styleId="CommentText">
    <w:name w:val="annotation text"/>
    <w:basedOn w:val="Normal"/>
    <w:link w:val="CommentTextChar"/>
    <w:uiPriority w:val="99"/>
    <w:unhideWhenUsed/>
    <w:rsid w:val="00A7737F"/>
    <w:pPr>
      <w:spacing w:line="240" w:lineRule="auto"/>
    </w:pPr>
    <w:rPr>
      <w:sz w:val="20"/>
      <w:szCs w:val="20"/>
    </w:rPr>
  </w:style>
  <w:style w:type="character" w:customStyle="1" w:styleId="CommentTextChar">
    <w:name w:val="Comment Text Char"/>
    <w:basedOn w:val="DefaultParagraphFont"/>
    <w:link w:val="CommentText"/>
    <w:uiPriority w:val="99"/>
    <w:rsid w:val="00A7737F"/>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7737F"/>
    <w:rPr>
      <w:b/>
      <w:bCs/>
    </w:rPr>
  </w:style>
  <w:style w:type="character" w:customStyle="1" w:styleId="CommentSubjectChar">
    <w:name w:val="Comment Subject Char"/>
    <w:basedOn w:val="CommentTextChar"/>
    <w:link w:val="CommentSubject"/>
    <w:uiPriority w:val="99"/>
    <w:semiHidden/>
    <w:rsid w:val="00A7737F"/>
    <w:rPr>
      <w:rFonts w:ascii="Times New Roman" w:hAnsi="Times New Roman" w:cs="Times New Roman"/>
      <w:b/>
      <w:bCs/>
      <w:sz w:val="20"/>
      <w:szCs w:val="20"/>
    </w:rPr>
  </w:style>
  <w:style w:type="character" w:styleId="FollowedHyperlink">
    <w:name w:val="FollowedHyperlink"/>
    <w:basedOn w:val="DefaultParagraphFont"/>
    <w:uiPriority w:val="99"/>
    <w:semiHidden/>
    <w:unhideWhenUsed/>
    <w:rsid w:val="00950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acoo203/BE352_Asset_Pricing.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1B20D-8BBC-4A06-8ED5-8B967161D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Empirical Asset Pricing via Machine Learning</dc:title>
  <dc:subject/>
  <dc:creator>Raúl Correa</dc:creator>
  <cp:keywords/>
  <dc:description/>
  <cp:lastModifiedBy>Raúl Correa</cp:lastModifiedBy>
  <cp:revision>2</cp:revision>
  <cp:lastPrinted>2026-01-22T02:26:00Z</cp:lastPrinted>
  <dcterms:created xsi:type="dcterms:W3CDTF">2026-01-22T02:26:00Z</dcterms:created>
  <dcterms:modified xsi:type="dcterms:W3CDTF">2026-01-22T02:26:00Z</dcterms:modified>
</cp:coreProperties>
</file>