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Malgun Gothic" w:cs="Malgun Gothic" w:eastAsia="Malgun Gothic" w:hAnsi="Malgun Gothic"/>
          <w:sz w:val="21"/>
          <w:szCs w:val="21"/>
        </w:rPr>
        <w:t xml:space="preserve">왼쪽 2026년 8월 150인 제3자 배정</w:t>
      </w:r>
    </w:p>
    <w:p>
      <w:pPr>
        <w:jc w:val="center"/>
      </w:pPr>
      <w:r>
        <w:rPr>
          <w:rFonts w:ascii="Malgun Gothic" w:cs="Malgun Gothic" w:eastAsia="Malgun Gothic" w:hAnsi="Malgun Gothic"/>
          <w:sz w:val="21"/>
          <w:szCs w:val="21"/>
        </w:rPr>
        <w:t xml:space="preserve">가운데 2026년 8월 150인 제3자 배정</w:t>
      </w:r>
    </w:p>
    <w:p>
      <w:pPr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양쪽 2026년 8월 150인 제3자 배정</w:t>
      </w:r>
    </w:p>
    <w:p>
      <w:pPr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본 계약은 2026년 8월 150인 규모의 제3자 배정 유상증자를 위하여 체결되며 ABC 주식회사와 DEF 파트너스는 각각 30인 및 70인의 임원을 파견한다 계약 당사자는 2026년 9월 30일까지 대금 5000만원을 납입하여야 하며 이를 위반한 경우 지연손해금 12인분을 부담한다</w:t>
      </w:r>
    </w:p>
    <w:sectPr>
      <w:pgSz w:w="11906" w:h="16838"/>
      <w:pgMar w:top="1247" w:right="1417" w:bottom="1247" w:left="1417" w:header="708" w:footer="708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cs="Malgun Gothic" w:eastAsia="Malgun Gothic" w:hAnsi="Malgun Gothic"/>
        <w:sz w:val="21"/>
        <w:szCs w:val="21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