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dnote"/>
        <w:widowControl/>
        <w:jc w:val="center"/>
        <w:rPr/>
      </w:pPr>
      <w:r>
        <w:rPr>
          <w:rFonts w:cs="Arial" w:ascii="Arial" w:hAnsi="Arial"/>
          <w:b/>
          <w:sz w:val="16"/>
        </w:rPr>
        <w:t>12.4. СТРУКТУРА ИНВЕСТИЦИЙ В ОСНОВНОЙ КАПИТАЛ ПО ВИДАМ ОСНОВНЫХ ФОНДОВ</w:t>
      </w:r>
    </w:p>
    <w:p>
      <w:pPr>
        <w:pStyle w:val="TextBody"/>
        <w:spacing w:before="0" w:after="60"/>
        <w:rPr/>
      </w:pPr>
      <w:r>
        <w:rPr/>
        <w:t>(в процентах от общего объема инвестиций)</w:t>
      </w:r>
    </w:p>
    <w:p>
      <w:pPr>
        <w:pStyle w:val="TextBody"/>
        <w:spacing w:before="0" w:after="60"/>
        <w:jc w:val="end"/>
        <w:rPr>
          <w:b/>
          <w:b/>
          <w:sz w:val="16"/>
        </w:rPr>
      </w:pPr>
      <w:r>
        <w:rPr>
          <w:b/>
          <w:sz w:val="16"/>
        </w:rPr>
      </w:r>
    </w:p>
    <w:tbl>
      <w:tblPr>
        <w:tblW w:w="9550" w:type="dxa"/>
        <w:jc w:val="center"/>
        <w:tblInd w:w="0" w:type="dxa"/>
        <w:tblBorders>
          <w:top w:val="single" w:sz="6" w:space="0" w:color="000000"/>
          <w:start w:val="single" w:sz="6" w:space="0" w:color="000000"/>
        </w:tblBorders>
        <w:tblCellMar>
          <w:top w:w="0" w:type="dxa"/>
          <w:start w:w="49" w:type="dxa"/>
          <w:bottom w:w="0" w:type="dxa"/>
          <w:end w:w="0" w:type="dxa"/>
        </w:tblCellMar>
      </w:tblPr>
      <w:tblGrid>
        <w:gridCol w:w="1700"/>
        <w:gridCol w:w="648"/>
        <w:gridCol w:w="662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10"/>
      </w:tblGrid>
      <w:tr>
        <w:trPr>
          <w:trHeight w:val="227" w:hRule="atLeast"/>
          <w:cantSplit w:val="true"/>
        </w:trPr>
        <w:tc>
          <w:tcPr>
            <w:tcW w:w="1700" w:type="dxa"/>
            <w:vMerge w:val="restart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Endnote"/>
              <w:widowControl/>
              <w:snapToGrid w:val="false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261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Endnote"/>
              <w:widowControl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2612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Endnote"/>
              <w:widowControl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2622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Endnote"/>
              <w:widowControl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</w:tr>
      <w:tr>
        <w:trPr>
          <w:trHeight w:val="244" w:hRule="atLeast"/>
          <w:cantSplit w:val="true"/>
        </w:trPr>
        <w:tc>
          <w:tcPr>
            <w:tcW w:w="1700" w:type="dxa"/>
            <w:vMerge w:val="continue"/>
            <w:tcBorders>
              <w:top w:val="single" w:sz="6" w:space="0" w:color="000000"/>
              <w:start w:val="single" w:sz="6" w:space="0" w:color="000000"/>
            </w:tcBorders>
            <w:shd w:fill="auto" w:val="clear"/>
          </w:tcPr>
          <w:p>
            <w:pPr>
              <w:pStyle w:val="Endnote"/>
              <w:widowControl/>
              <w:snapToGrid w:val="false"/>
              <w:jc w:val="center"/>
              <w:rPr>
                <w:rFonts w:ascii="Arial" w:hAnsi="Arial" w:cs="Arial"/>
                <w:sz w:val="14"/>
                <w:szCs w:val="20"/>
              </w:rPr>
            </w:pPr>
            <w:r>
              <w:rPr>
                <w:rFonts w:cs="Arial" w:ascii="Arial" w:hAnsi="Arial"/>
                <w:sz w:val="14"/>
                <w:szCs w:val="20"/>
              </w:rPr>
            </w:r>
          </w:p>
        </w:tc>
        <w:tc>
          <w:tcPr>
            <w:tcW w:w="6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Жилища</w:t>
            </w:r>
          </w:p>
        </w:tc>
        <w:tc>
          <w:tcPr>
            <w:tcW w:w="662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>Здания</w:t>
              <w:br/>
              <w:t>(кроме жилых) и</w:t>
              <w:br/>
            </w:r>
            <w:r>
              <w:rPr>
                <w:rFonts w:cs="Arial" w:ascii="Arial" w:hAnsi="Arial"/>
                <w:spacing w:val="-4"/>
                <w:sz w:val="12"/>
                <w:szCs w:val="12"/>
              </w:rPr>
              <w:t>сооруже-</w:t>
            </w:r>
            <w:r>
              <w:rPr>
                <w:rFonts w:cs="Arial" w:ascii="Arial" w:hAnsi="Arial"/>
                <w:sz w:val="12"/>
                <w:szCs w:val="12"/>
              </w:rPr>
              <w:br/>
              <w:t>ния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 xml:space="preserve">Машины, </w:t>
              <w:br/>
              <w:t>оборудование, транспортные средства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Прочие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Жилища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>Здания</w:t>
              <w:br/>
              <w:t>(кроме жилых) и</w:t>
              <w:br/>
              <w:t>сооружения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 xml:space="preserve">Машины, </w:t>
              <w:br/>
              <w:t>оборудование, транспортные средства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Прочие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Жилища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>Здания</w:t>
              <w:br/>
              <w:t>(кроме жилых) и</w:t>
              <w:br/>
              <w:t>сооружения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start w:w="-7" w:type="dxa"/>
            </w:tcMar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 xml:space="preserve">Машины, </w:t>
              <w:br/>
            </w:r>
            <w:r>
              <w:rPr>
                <w:rFonts w:cs="Arial" w:ascii="Arial" w:hAnsi="Arial"/>
                <w:spacing w:val="2"/>
                <w:sz w:val="12"/>
                <w:szCs w:val="12"/>
              </w:rPr>
              <w:t>оборудо-</w:t>
            </w:r>
            <w:r>
              <w:rPr>
                <w:rFonts w:cs="Arial" w:ascii="Arial" w:hAnsi="Arial"/>
                <w:sz w:val="12"/>
                <w:szCs w:val="12"/>
              </w:rPr>
              <w:br/>
              <w:t>вание, транспортные средства</w:t>
            </w:r>
          </w:p>
        </w:tc>
        <w:tc>
          <w:tcPr>
            <w:tcW w:w="66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tcMar>
              <w:start w:w="-7" w:type="dxa"/>
            </w:tcMar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Прочие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Heading4"/>
              <w:numPr>
                <w:ilvl w:val="3"/>
                <w:numId w:val="1"/>
              </w:numPr>
              <w:spacing w:lineRule="exact" w:line="140" w:before="26" w:after="0"/>
              <w:rPr/>
            </w:pPr>
            <w:r>
              <w:rPr/>
              <w:t>Российская Федера</w:t>
              <w:softHyphen/>
              <w:t>ция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12,0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40,4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41,1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6,5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12,2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43,3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37,9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6,6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12,5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41,5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38,8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7,2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Heading2"/>
              <w:widowControl/>
              <w:numPr>
                <w:ilvl w:val="1"/>
                <w:numId w:val="1"/>
              </w:numPr>
              <w:spacing w:lineRule="exact" w:line="140" w:before="26" w:after="0"/>
              <w:rPr/>
            </w:pPr>
            <w:r>
              <w:rPr>
                <w:spacing w:val="-4"/>
              </w:rPr>
              <w:t xml:space="preserve">Центральный </w:t>
              <w:br/>
              <w:t>федеральный округ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16,9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35,3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42,6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5,2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38,8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43,5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38,9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43,8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3,7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Белгородская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9,4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47,9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2,4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Брянская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18,5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29,5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47,1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9,5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Владимирская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10,0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49,5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3,2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Воронежская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20,7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46,1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3,1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Ивановская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10,6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42,5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44,8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Калужская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25,9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28,0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43,8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/>
            </w:pPr>
            <w:r>
              <w:rPr>
                <w:rFonts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Костромская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6,5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55,8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14,8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32,3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51,1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2,7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Липецкая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15,6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36,2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45,9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2,1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Московская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22,3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30,1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42,7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3,7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Орловская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39,5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22,0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35,1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3,7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Рязанская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6,5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46,2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44,8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6,3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Смоленская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12,6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48,1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37,6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/>
            </w:pPr>
            <w:r>
              <w:rPr>
                <w:rFonts w:cs="Arial" w:ascii="Arial" w:hAnsi="Arial"/>
                <w:sz w:val="14"/>
              </w:rPr>
              <w:t>1,6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2,6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Тамбовская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25,8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33,1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38,0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Тверская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15,4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41,7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40,7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Тульская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8,9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31,5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57,1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/>
            </w:pPr>
            <w:r>
              <w:rPr>
                <w:rFonts w:cs="Arial" w:ascii="Arial" w:hAnsi="Arial"/>
                <w:sz w:val="14"/>
                <w:szCs w:val="14"/>
              </w:rPr>
              <w:t>47,1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Ярославская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5,4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54,0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39,5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2,3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Москва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17,1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34,1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41,3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7,5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4,4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Heading6"/>
              <w:keepNext w:val="false"/>
              <w:widowControl/>
              <w:numPr>
                <w:ilvl w:val="5"/>
                <w:numId w:val="1"/>
              </w:numPr>
              <w:spacing w:lineRule="exact" w:line="140" w:before="26" w:after="0"/>
              <w:ind w:start="0" w:hanging="0"/>
              <w:rPr/>
            </w:pPr>
            <w:r>
              <w:rPr/>
              <w:t xml:space="preserve">Северо-Западный </w:t>
              <w:br/>
              <w:t>федеральный округ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6,3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45,5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44,0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4,1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50,7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37,4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44,4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42,7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5,3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Карелия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7,9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35,7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55,1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Коми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3,8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47,8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39,5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8,9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10,1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Архангельская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4,1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48,9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30,0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17,0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12,8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397" w:hanging="0"/>
              <w:rPr>
                <w:rFonts w:ascii="Arial" w:hAnsi="Arial" w:cs="Arial"/>
                <w:spacing w:val="-6"/>
                <w:sz w:val="14"/>
              </w:rPr>
            </w:pPr>
            <w:r>
              <w:rPr>
                <w:rFonts w:cs="Arial" w:ascii="Arial" w:hAnsi="Arial"/>
                <w:spacing w:val="-6"/>
                <w:sz w:val="14"/>
              </w:rPr>
              <w:t>в том числе: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pacing w:val="-6"/>
                <w:sz w:val="14"/>
              </w:rPr>
            </w:pPr>
            <w:r>
              <w:rPr>
                <w:rFonts w:eastAsia="Arial Unicode MS" w:cs="Arial" w:ascii="Arial" w:hAnsi="Arial"/>
                <w:spacing w:val="-6"/>
                <w:sz w:val="14"/>
              </w:rPr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227" w:hanging="0"/>
              <w:rPr/>
            </w:pPr>
            <w:r>
              <w:rPr>
                <w:rFonts w:cs="Arial" w:ascii="Arial" w:hAnsi="Arial"/>
                <w:sz w:val="14"/>
              </w:rPr>
              <w:t>Ненецкий</w:t>
              <w:br/>
              <w:t>автономный округ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3,7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41,6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19,7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35,1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31,3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227" w:hanging="0"/>
              <w:rPr/>
            </w:pPr>
            <w:r>
              <w:rPr>
                <w:rFonts w:cs="Arial" w:ascii="Arial" w:hAnsi="Arial"/>
                <w:sz w:val="14"/>
              </w:rPr>
              <w:t xml:space="preserve">Архангельская </w:t>
              <w:br/>
              <w:t xml:space="preserve">область без </w:t>
              <w:br/>
              <w:t>автономного округа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0,9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Вологодская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3,4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59,3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35,8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2,3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 xml:space="preserve">Калинингpадская </w:t>
              <w:br/>
              <w:t>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6,6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31,4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/>
            </w:pPr>
            <w:r>
              <w:rPr>
                <w:rFonts w:eastAsia="Arial Unicode MS" w:cs="Arial" w:ascii="Arial" w:hAnsi="Arial"/>
                <w:sz w:val="14"/>
              </w:rPr>
              <w:t>56,5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5,6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 xml:space="preserve">Ленинградская </w:t>
              <w:br/>
              <w:t>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8,9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48,5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41,2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5,5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Мурманская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1,2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26,5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71,0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1,1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Новгородская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13,2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32,3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52,2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Псковская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11,4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29,9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53,9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6,1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Санкт-Петербург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7,2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44,7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46,4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2,5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Heading2"/>
              <w:widowControl/>
              <w:numPr>
                <w:ilvl w:val="1"/>
                <w:numId w:val="1"/>
              </w:numPr>
              <w:spacing w:lineRule="exact" w:line="140" w:before="26" w:after="0"/>
              <w:rPr/>
            </w:pPr>
            <w:r>
              <w:rPr/>
              <w:t xml:space="preserve">Южный </w:t>
              <w:br/>
              <w:t>федеральный округ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18,7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36,0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39,1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47,3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33,2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50,2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5,4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Адыгея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18,0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38,9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38,5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2,7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Калмыкия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7,1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46,6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38,1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8,2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8,9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Крым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Краснодарский край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20,4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38,3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34,5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2,3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Астраханская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30,0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24,4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32,3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13,2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38,9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Волгоградская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8,0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42,2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44,3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3,8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Ростовская область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19,5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30,7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46,7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Севастополь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Северо-Кавказский</w:t>
              <w:br/>
              <w:t>федеральный округ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18,4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43,6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30,1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36,4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30,0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19,5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40,8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33,7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6,1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Дагестан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21,8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45,8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19,5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13,0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6,8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Ингушетия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7,0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46,2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44,4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/>
            </w:pPr>
            <w:r>
              <w:rPr>
                <w:rFonts w:cs="Arial" w:ascii="Arial" w:hAnsi="Arial"/>
                <w:sz w:val="14"/>
                <w:szCs w:val="14"/>
              </w:rPr>
              <w:t>2,6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pacing w:val="-4"/>
                <w:sz w:val="14"/>
              </w:rPr>
              <w:t>Кабардино-Балкарская Республика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34,6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43,5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18,9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4,0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13,9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50,6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24,6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6,2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Северная Осетия – Алания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15,6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47,4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36,0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26,6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/>
            </w:pPr>
            <w:r>
              <w:rPr>
                <w:rFonts w:cs="Arial" w:ascii="Arial" w:hAnsi="Arial"/>
                <w:sz w:val="14"/>
                <w:szCs w:val="14"/>
              </w:rPr>
              <w:t>9,5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6,8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2,6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Чеченская Республика</w:t>
            </w:r>
          </w:p>
        </w:tc>
        <w:tc>
          <w:tcPr>
            <w:tcW w:w="648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10,0</w:t>
            </w:r>
          </w:p>
        </w:tc>
        <w:tc>
          <w:tcPr>
            <w:tcW w:w="662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56,0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26,3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7,7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31,9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36,0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30,1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35,4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26,7</w:t>
            </w:r>
          </w:p>
        </w:tc>
        <w:tc>
          <w:tcPr>
            <w:tcW w:w="653" w:type="dxa"/>
            <w:tcBorders/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7,7</w:t>
            </w:r>
          </w:p>
        </w:tc>
      </w:tr>
      <w:tr>
        <w:trPr>
          <w:cantSplit w:val="true"/>
        </w:trPr>
        <w:tc>
          <w:tcPr>
            <w:tcW w:w="1700" w:type="dxa"/>
            <w:tcBorders>
              <w:star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Ставропольский край</w:t>
            </w:r>
          </w:p>
        </w:tc>
        <w:tc>
          <w:tcPr>
            <w:tcW w:w="64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18,8</w:t>
            </w:r>
          </w:p>
        </w:tc>
        <w:tc>
          <w:tcPr>
            <w:tcW w:w="66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34,3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41,3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5,6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22,1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33,7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41,0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12,5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41,2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40,2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tcMar>
              <w:start w:w="0" w:type="dxa"/>
            </w:tcMar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6,0</w:t>
            </w:r>
          </w:p>
        </w:tc>
      </w:tr>
    </w:tbl>
    <w:p>
      <w:pPr>
        <w:pStyle w:val="TextBody"/>
        <w:spacing w:before="0" w:after="60"/>
        <w:jc w:val="start"/>
        <w:rPr>
          <w:b/>
          <w:b/>
          <w:sz w:val="16"/>
        </w:rPr>
      </w:pPr>
      <w:r>
        <w:rPr>
          <w:b/>
          <w:sz w:val="16"/>
        </w:rPr>
      </w:r>
      <w:r>
        <w:br w:type="page"/>
      </w:r>
    </w:p>
    <w:p>
      <w:pPr>
        <w:pStyle w:val="TextBody"/>
        <w:spacing w:before="0" w:after="60"/>
        <w:jc w:val="start"/>
        <w:rPr>
          <w:b/>
          <w:b/>
          <w:sz w:val="16"/>
        </w:rPr>
      </w:pPr>
      <w:r>
        <w:rPr>
          <w:b/>
          <w:sz w:val="16"/>
        </w:rPr>
      </w:r>
    </w:p>
    <w:tbl>
      <w:tblPr>
        <w:tblW w:w="9562" w:type="dxa"/>
        <w:jc w:val="center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648"/>
        <w:gridCol w:w="662"/>
        <w:gridCol w:w="654"/>
        <w:gridCol w:w="654"/>
        <w:gridCol w:w="653"/>
        <w:gridCol w:w="653"/>
        <w:gridCol w:w="653"/>
        <w:gridCol w:w="653"/>
        <w:gridCol w:w="653"/>
        <w:gridCol w:w="653"/>
        <w:gridCol w:w="653"/>
        <w:gridCol w:w="653"/>
        <w:gridCol w:w="1720"/>
      </w:tblGrid>
      <w:tr>
        <w:trPr>
          <w:trHeight w:val="227" w:hRule="atLeast"/>
          <w:cantSplit w:val="true"/>
        </w:trPr>
        <w:tc>
          <w:tcPr>
            <w:tcW w:w="2618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2014</w:t>
            </w:r>
          </w:p>
        </w:tc>
        <w:tc>
          <w:tcPr>
            <w:tcW w:w="2612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2015</w:t>
            </w:r>
          </w:p>
        </w:tc>
        <w:tc>
          <w:tcPr>
            <w:tcW w:w="2612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2016</w:t>
            </w:r>
          </w:p>
        </w:tc>
        <w:tc>
          <w:tcPr>
            <w:tcW w:w="1720" w:type="dxa"/>
            <w:vMerge w:val="restart"/>
            <w:tcBorders>
              <w:top w:val="single" w:sz="6" w:space="0" w:color="000000"/>
              <w:start w:val="single" w:sz="6" w:space="0" w:color="000000"/>
              <w:end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dnote"/>
              <w:widowControl/>
              <w:snapToGrid w:val="false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</w:tr>
      <w:tr>
        <w:trPr>
          <w:trHeight w:val="244" w:hRule="atLeast"/>
          <w:cantSplit w:val="true"/>
        </w:trPr>
        <w:tc>
          <w:tcPr>
            <w:tcW w:w="6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Жилища</w:t>
            </w:r>
          </w:p>
        </w:tc>
        <w:tc>
          <w:tcPr>
            <w:tcW w:w="662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>Здания</w:t>
              <w:br/>
              <w:t>(кроме жилых) и</w:t>
              <w:br/>
            </w:r>
            <w:r>
              <w:rPr>
                <w:rFonts w:cs="Arial" w:ascii="Arial" w:hAnsi="Arial"/>
                <w:spacing w:val="-4"/>
                <w:sz w:val="12"/>
                <w:szCs w:val="12"/>
              </w:rPr>
              <w:t>сооруже-</w:t>
            </w:r>
            <w:r>
              <w:rPr>
                <w:rFonts w:cs="Arial" w:ascii="Arial" w:hAnsi="Arial"/>
                <w:sz w:val="12"/>
                <w:szCs w:val="12"/>
              </w:rPr>
              <w:br/>
              <w:t>ния</w:t>
            </w:r>
          </w:p>
        </w:tc>
        <w:tc>
          <w:tcPr>
            <w:tcW w:w="654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 xml:space="preserve">Машины, </w:t>
              <w:br/>
              <w:t>оборудование, транспортные средства</w:t>
            </w:r>
          </w:p>
        </w:tc>
        <w:tc>
          <w:tcPr>
            <w:tcW w:w="654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Прочие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Жилища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>Здания</w:t>
              <w:br/>
              <w:t>(кроме жилых) и</w:t>
              <w:br/>
              <w:t>сооружения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 xml:space="preserve">Машины, </w:t>
              <w:br/>
              <w:t>оборудование, транспортные средства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Прочие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Жилища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>Здания</w:t>
              <w:br/>
              <w:t>(кроме жилых) и</w:t>
              <w:br/>
              <w:t>сооружения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 xml:space="preserve">Машины, </w:t>
              <w:br/>
            </w:r>
            <w:r>
              <w:rPr>
                <w:rFonts w:cs="Arial" w:ascii="Arial" w:hAnsi="Arial"/>
                <w:spacing w:val="2"/>
                <w:sz w:val="12"/>
                <w:szCs w:val="12"/>
              </w:rPr>
              <w:t>оборудо-</w:t>
            </w:r>
            <w:r>
              <w:rPr>
                <w:rFonts w:cs="Arial" w:ascii="Arial" w:hAnsi="Arial"/>
                <w:sz w:val="12"/>
                <w:szCs w:val="12"/>
              </w:rPr>
              <w:br/>
              <w:t>вание, транспортные средства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Прочие</w:t>
            </w:r>
          </w:p>
        </w:tc>
        <w:tc>
          <w:tcPr>
            <w:tcW w:w="1720" w:type="dxa"/>
            <w:vMerge w:val="continue"/>
            <w:tcBorders>
              <w:top w:val="single" w:sz="6" w:space="0" w:color="000000"/>
              <w:start w:val="single" w:sz="6" w:space="0" w:color="000000"/>
              <w:end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dnote"/>
              <w:widowControl/>
              <w:snapToGrid w:val="false"/>
              <w:jc w:val="center"/>
              <w:rPr>
                <w:rFonts w:ascii="Arial" w:hAnsi="Arial" w:cs="Arial"/>
                <w:sz w:val="14"/>
                <w:szCs w:val="12"/>
              </w:rPr>
            </w:pPr>
            <w:r>
              <w:rPr>
                <w:rFonts w:cs="Arial" w:ascii="Arial" w:hAnsi="Arial"/>
                <w:sz w:val="14"/>
                <w:szCs w:val="12"/>
              </w:rPr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14,5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40,8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36,3</w:t>
            </w:r>
          </w:p>
        </w:tc>
        <w:tc>
          <w:tcPr>
            <w:tcW w:w="654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8,4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15,6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43,7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/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31,5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9,2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15,4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45,2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30,6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8,8</w:t>
            </w:r>
          </w:p>
        </w:tc>
        <w:tc>
          <w:tcPr>
            <w:tcW w:w="1720" w:type="dxa"/>
            <w:tcBorders>
              <w:top w:val="single" w:sz="6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Heading4"/>
              <w:numPr>
                <w:ilvl w:val="3"/>
                <w:numId w:val="1"/>
              </w:numPr>
              <w:spacing w:lineRule="exact" w:line="140" w:before="26" w:after="0"/>
              <w:rPr/>
            </w:pPr>
            <w:r>
              <w:rPr/>
              <w:t>Российская Федера</w:t>
              <w:softHyphen/>
              <w:t>ция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14,4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37,0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44,4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41,2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34,8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38,8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36,6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7,3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Heading2"/>
              <w:widowControl/>
              <w:numPr>
                <w:ilvl w:val="1"/>
                <w:numId w:val="1"/>
              </w:numPr>
              <w:spacing w:lineRule="exact" w:line="140" w:before="26" w:after="0"/>
              <w:rPr/>
            </w:pPr>
            <w:r>
              <w:rPr>
                <w:spacing w:val="-4"/>
              </w:rPr>
              <w:t xml:space="preserve">Центральный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23,3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31,6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42,2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Белгородская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46,7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34,2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7,0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Брянская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12,6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36,2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48,3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Владимирская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20,7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41,8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34,5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5,0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Воронежская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27,8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31,7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38,0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Ивановская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11,8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37,2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48,7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Калужская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18,1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25,2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55,0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Костромская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18,3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41,9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37,3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Курская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39,5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29,3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29,1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Липецкая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19,7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42,4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34,3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Московская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48,0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23,6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26,7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Орловская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7,9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41,0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46,2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5,3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Рязанская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36,9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50,1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Смоленская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30,6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42,9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25,3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Тамбовская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17,7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46,1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34,5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Тверская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17,5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36,9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42,3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Тульская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16,1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41,2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40,6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Ярославская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6,5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33,9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54,1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11,8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г. Москва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10,0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44,3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38,1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48,3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/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33,7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49,2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31,9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4,8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Heading6"/>
              <w:keepNext w:val="false"/>
              <w:widowControl/>
              <w:numPr>
                <w:ilvl w:val="5"/>
                <w:numId w:val="1"/>
              </w:numPr>
              <w:spacing w:lineRule="exact" w:line="140" w:before="26" w:after="0"/>
              <w:ind w:start="0" w:hanging="0"/>
              <w:rPr/>
            </w:pPr>
            <w:r>
              <w:rPr/>
              <w:t xml:space="preserve">Северо-Западный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12,6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49,2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36,8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Республика Карелия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59,8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24,9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8,2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Республика Коми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6,0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48,0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26,9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11,6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>Архангельская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26" w:after="0"/>
              <w:ind w:end="17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397" w:hanging="0"/>
              <w:rPr>
                <w:rFonts w:ascii="Arial" w:hAnsi="Arial" w:cs="Arial"/>
                <w:spacing w:val="-6"/>
                <w:sz w:val="14"/>
              </w:rPr>
            </w:pPr>
            <w:r>
              <w:rPr>
                <w:rFonts w:cs="Arial" w:ascii="Arial" w:hAnsi="Arial"/>
                <w:spacing w:val="-6"/>
                <w:sz w:val="14"/>
              </w:rPr>
              <w:t>в том числе: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54,3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8,0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227" w:hanging="0"/>
              <w:rPr/>
            </w:pPr>
            <w:r>
              <w:rPr>
                <w:rFonts w:cs="Arial" w:ascii="Arial" w:hAnsi="Arial"/>
                <w:sz w:val="14"/>
              </w:rPr>
              <w:t>Ненецкий</w:t>
              <w:br/>
              <w:t>автономный округ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11,1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41,7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45,9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227" w:hanging="0"/>
              <w:rPr/>
            </w:pPr>
            <w:r>
              <w:rPr>
                <w:rFonts w:cs="Arial" w:ascii="Arial" w:hAnsi="Arial"/>
                <w:sz w:val="14"/>
              </w:rPr>
              <w:t xml:space="preserve">Архангельская </w:t>
              <w:br/>
              <w:t xml:space="preserve">область без </w:t>
              <w:br/>
              <w:t>автономного округа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/>
            </w:pPr>
            <w:r>
              <w:rPr>
                <w:rFonts w:cs="Arial" w:ascii="Arial" w:hAnsi="Arial"/>
                <w:sz w:val="14"/>
                <w:szCs w:val="14"/>
              </w:rPr>
              <w:t>15,5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36,3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43,5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Вологодская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13,3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46,2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32,1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 xml:space="preserve">Калинингpадская </w:t>
              <w:br/>
              <w:t>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50,6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37,1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4,4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z w:val="14"/>
              </w:rPr>
              <w:t xml:space="preserve">Ленинградская </w:t>
              <w:br/>
              <w:t>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37,4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56,6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Мурманская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55,5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32,3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71,9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Новгородская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8,0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48,6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39,0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Псковская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16,3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35,5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44,6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Санкт-Петербург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/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14,</w:t>
            </w:r>
            <w:r>
              <w:rPr>
                <w:rFonts w:cs="Arial" w:ascii="Arial" w:hAnsi="Arial"/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/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49,</w:t>
            </w:r>
            <w:r>
              <w:rPr>
                <w:rFonts w:cs="Arial" w:ascii="Arial" w:hAnsi="Arial"/>
                <w:b/>
                <w:bCs/>
                <w:sz w:val="14"/>
                <w:szCs w:val="14"/>
                <w:lang w:val="en-US"/>
              </w:rPr>
              <w:t>3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/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29,</w:t>
            </w:r>
            <w:r>
              <w:rPr>
                <w:rFonts w:cs="Arial" w:ascii="Arial" w:hAnsi="Arial"/>
                <w:b/>
                <w:bCs/>
                <w:sz w:val="14"/>
                <w:szCs w:val="14"/>
                <w:lang w:val="en-US"/>
              </w:rPr>
              <w:t>6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49,8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26,9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19,9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46,1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5,6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Heading2"/>
              <w:widowControl/>
              <w:numPr>
                <w:ilvl w:val="1"/>
                <w:numId w:val="1"/>
              </w:numPr>
              <w:spacing w:lineRule="exact" w:line="140" w:before="26" w:after="0"/>
              <w:rPr/>
            </w:pPr>
            <w:r>
              <w:rPr/>
              <w:t xml:space="preserve">Южный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22,0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46,0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30,6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Адыгея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5,8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64,9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17,1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18,2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Калмыкия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28,6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38,5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27,9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6,7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Крым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12,6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55,4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28,0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4,3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Краснодарский край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12,1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39,4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16,2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17,5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Астраханская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15,6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40,5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/>
            </w:pPr>
            <w:r>
              <w:rPr>
                <w:rFonts w:cs="Arial" w:ascii="Arial" w:hAnsi="Arial"/>
                <w:sz w:val="14"/>
                <w:szCs w:val="14"/>
              </w:rPr>
              <w:t>41,1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Волгоградская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20,5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42,4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33,7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Ростовская область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23,4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52,9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16,9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15,1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г. Севастополь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29,4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35,1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23,9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36,0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/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23,1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41,3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24,6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>Северо-Кавказский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44,8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18,5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16,4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18,8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Дагестан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32,0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40,6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21,1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6,3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Ингушетия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36,4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35,6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22,0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4,8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pacing w:val="-4"/>
                <w:sz w:val="14"/>
              </w:rPr>
              <w:t>Кабардино-Балкарская Республика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14,9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53,8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28,6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4,3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/>
            </w:pPr>
            <w:r>
              <w:rPr>
                <w:rFonts w:cs="Arial" w:ascii="Arial" w:hAnsi="Arial"/>
                <w:spacing w:val="-4"/>
                <w:sz w:val="14"/>
              </w:rPr>
              <w:t>Карачаево-Черкесская Республика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14,2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59,5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24,5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1,2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Северная Осетия – Алания</w:t>
            </w:r>
          </w:p>
        </w:tc>
      </w:tr>
      <w:tr>
        <w:trPr>
          <w:cantSplit w:val="true"/>
        </w:trPr>
        <w:tc>
          <w:tcPr>
            <w:tcW w:w="648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29,5</w:t>
            </w:r>
          </w:p>
        </w:tc>
        <w:tc>
          <w:tcPr>
            <w:tcW w:w="66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48,5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11,8</w:t>
            </w:r>
          </w:p>
        </w:tc>
        <w:tc>
          <w:tcPr>
            <w:tcW w:w="654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/>
            </w:pPr>
            <w:r>
              <w:rPr>
                <w:rFonts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6,2</w:t>
            </w:r>
          </w:p>
        </w:tc>
        <w:tc>
          <w:tcPr>
            <w:tcW w:w="1720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Чеченская Республика</w:t>
            </w:r>
          </w:p>
        </w:tc>
      </w:tr>
      <w:tr>
        <w:trPr>
          <w:cantSplit w:val="true"/>
        </w:trPr>
        <w:tc>
          <w:tcPr>
            <w:tcW w:w="64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11,7</w:t>
            </w:r>
          </w:p>
        </w:tc>
        <w:tc>
          <w:tcPr>
            <w:tcW w:w="66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44,4</w:t>
            </w:r>
          </w:p>
        </w:tc>
        <w:tc>
          <w:tcPr>
            <w:tcW w:w="65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39,0</w:t>
            </w:r>
          </w:p>
        </w:tc>
        <w:tc>
          <w:tcPr>
            <w:tcW w:w="65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4,9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14,0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40,9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36,8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8,2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31,0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30,9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32,6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end="113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5,5</w:t>
            </w:r>
          </w:p>
        </w:tc>
        <w:tc>
          <w:tcPr>
            <w:tcW w:w="1720" w:type="dxa"/>
            <w:tcBorders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26" w:after="0"/>
              <w:ind w:start="5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Ставропольский край</w:t>
            </w:r>
          </w:p>
        </w:tc>
      </w:tr>
    </w:tbl>
    <w:p>
      <w:pPr>
        <w:pStyle w:val="Xl31"/>
        <w:spacing w:before="0" w:after="60"/>
        <w:rPr>
          <w:rFonts w:eastAsia="Times New Roman" w:cs="Times New Roman"/>
          <w:b/>
          <w:b/>
          <w:sz w:val="16"/>
          <w:szCs w:val="24"/>
        </w:rPr>
      </w:pPr>
      <w:r>
        <w:br w:type="page"/>
      </w:r>
      <w:r>
        <w:rPr>
          <w:rFonts w:eastAsia="Times New Roman" w:cs="Times New Roman"/>
          <w:b/>
          <w:sz w:val="16"/>
          <w:szCs w:val="24"/>
        </w:rPr>
        <w:t>Продолжение табл. 12.4</w:t>
      </w:r>
    </w:p>
    <w:tbl>
      <w:tblPr>
        <w:tblW w:w="9547" w:type="dxa"/>
        <w:jc w:val="center"/>
        <w:tblInd w:w="0" w:type="dxa"/>
        <w:tblBorders>
          <w:top w:val="single" w:sz="4" w:space="0" w:color="000000"/>
          <w:start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1709"/>
        <w:gridCol w:w="652"/>
        <w:gridCol w:w="652"/>
        <w:gridCol w:w="653"/>
        <w:gridCol w:w="653"/>
        <w:gridCol w:w="652"/>
        <w:gridCol w:w="653"/>
        <w:gridCol w:w="653"/>
        <w:gridCol w:w="653"/>
        <w:gridCol w:w="652"/>
        <w:gridCol w:w="652"/>
        <w:gridCol w:w="652"/>
        <w:gridCol w:w="651"/>
        <w:gridCol w:w="10"/>
      </w:tblGrid>
      <w:tr>
        <w:trPr>
          <w:trHeight w:val="227" w:hRule="atLeast"/>
          <w:cantSplit w:val="true"/>
        </w:trPr>
        <w:tc>
          <w:tcPr>
            <w:tcW w:w="1709" w:type="dxa"/>
            <w:vMerge w:val="restart"/>
            <w:tcBorders>
              <w:top w:val="single" w:sz="4" w:space="0" w:color="000000"/>
              <w:start w:val="single" w:sz="6" w:space="0" w:color="000000"/>
            </w:tcBorders>
            <w:shd w:fill="auto" w:val="clear"/>
          </w:tcPr>
          <w:p>
            <w:pPr>
              <w:pStyle w:val="Endnote"/>
              <w:widowControl/>
              <w:snapToGrid w:val="false"/>
              <w:spacing w:before="100" w:after="10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2610" w:type="dxa"/>
            <w:gridSpan w:val="4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cs="Arial" w:ascii="Arial" w:hAnsi="Arial"/>
                <w:sz w:val="14"/>
              </w:rPr>
              <w:t>2005</w:t>
            </w:r>
          </w:p>
        </w:tc>
        <w:tc>
          <w:tcPr>
            <w:tcW w:w="2611" w:type="dxa"/>
            <w:gridSpan w:val="4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2010</w:t>
            </w:r>
          </w:p>
        </w:tc>
        <w:tc>
          <w:tcPr>
            <w:tcW w:w="2617" w:type="dxa"/>
            <w:gridSpan w:val="4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2013</w:t>
            </w:r>
          </w:p>
        </w:tc>
      </w:tr>
      <w:tr>
        <w:trPr>
          <w:trHeight w:val="486" w:hRule="atLeast"/>
          <w:cantSplit w:val="true"/>
        </w:trPr>
        <w:tc>
          <w:tcPr>
            <w:tcW w:w="1709" w:type="dxa"/>
            <w:vMerge w:val="continue"/>
            <w:tcBorders>
              <w:top w:val="single" w:sz="4" w:space="0" w:color="000000"/>
              <w:start w:val="single" w:sz="6" w:space="0" w:color="000000"/>
            </w:tcBorders>
            <w:shd w:fill="auto" w:val="clear"/>
          </w:tcPr>
          <w:p>
            <w:pPr>
              <w:pStyle w:val="Endnote"/>
              <w:widowControl/>
              <w:snapToGrid w:val="false"/>
              <w:spacing w:before="100" w:after="10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</w:r>
          </w:p>
        </w:tc>
        <w:tc>
          <w:tcPr>
            <w:tcW w:w="652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Жилища</w:t>
            </w:r>
          </w:p>
        </w:tc>
        <w:tc>
          <w:tcPr>
            <w:tcW w:w="652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>Здания</w:t>
              <w:br/>
              <w:t>(кроме жилых) и</w:t>
              <w:br/>
            </w:r>
            <w:r>
              <w:rPr>
                <w:rFonts w:cs="Arial" w:ascii="Arial" w:hAnsi="Arial"/>
                <w:spacing w:val="-4"/>
                <w:sz w:val="12"/>
                <w:szCs w:val="12"/>
              </w:rPr>
              <w:t>сооруже-</w:t>
            </w:r>
            <w:r>
              <w:rPr>
                <w:rFonts w:cs="Arial" w:ascii="Arial" w:hAnsi="Arial"/>
                <w:sz w:val="12"/>
                <w:szCs w:val="12"/>
              </w:rPr>
              <w:br/>
              <w:t>ния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 xml:space="preserve">Машины, </w:t>
              <w:br/>
              <w:t>оборудование, транспортные средства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Прочие</w:t>
            </w:r>
          </w:p>
        </w:tc>
        <w:tc>
          <w:tcPr>
            <w:tcW w:w="652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Жилища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>Здания</w:t>
              <w:br/>
              <w:t>(кроме жилых) и</w:t>
              <w:br/>
              <w:t>сооружения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 xml:space="preserve">Машины, </w:t>
              <w:br/>
              <w:t>оборудование, транспортные средства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Прочие</w:t>
            </w:r>
          </w:p>
        </w:tc>
        <w:tc>
          <w:tcPr>
            <w:tcW w:w="652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Жилища</w:t>
            </w:r>
          </w:p>
        </w:tc>
        <w:tc>
          <w:tcPr>
            <w:tcW w:w="652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>Здания</w:t>
              <w:br/>
              <w:t>(кроме жилых) и</w:t>
              <w:br/>
              <w:t>сооружения</w:t>
            </w:r>
          </w:p>
        </w:tc>
        <w:tc>
          <w:tcPr>
            <w:tcW w:w="652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 xml:space="preserve">Машины, </w:t>
              <w:br/>
            </w:r>
            <w:r>
              <w:rPr>
                <w:rFonts w:cs="Arial" w:ascii="Arial" w:hAnsi="Arial"/>
                <w:spacing w:val="2"/>
                <w:sz w:val="12"/>
                <w:szCs w:val="12"/>
              </w:rPr>
              <w:t>оборудо-</w:t>
            </w:r>
            <w:r>
              <w:rPr>
                <w:rFonts w:cs="Arial" w:ascii="Arial" w:hAnsi="Arial"/>
                <w:sz w:val="12"/>
                <w:szCs w:val="12"/>
              </w:rPr>
              <w:br/>
              <w:t>вание, транспортные средства</w:t>
            </w:r>
          </w:p>
        </w:tc>
        <w:tc>
          <w:tcPr>
            <w:tcW w:w="661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Прочие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Heading2"/>
              <w:widowControl/>
              <w:numPr>
                <w:ilvl w:val="1"/>
                <w:numId w:val="1"/>
              </w:numPr>
              <w:spacing w:lineRule="exact" w:line="140" w:before="46" w:after="0"/>
              <w:rPr/>
            </w:pPr>
            <w:r>
              <w:rPr/>
              <w:t>Приволжский</w:t>
              <w:br/>
              <w:t>федеральный округ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13,8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37,2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44,2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4,8</w:t>
            </w:r>
          </w:p>
        </w:tc>
        <w:tc>
          <w:tcPr>
            <w:tcW w:w="65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17,4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36,5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40,4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5,7</w:t>
            </w:r>
          </w:p>
        </w:tc>
        <w:tc>
          <w:tcPr>
            <w:tcW w:w="652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17,5</w:t>
            </w:r>
          </w:p>
        </w:tc>
        <w:tc>
          <w:tcPr>
            <w:tcW w:w="652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36,5</w:t>
            </w:r>
          </w:p>
        </w:tc>
        <w:tc>
          <w:tcPr>
            <w:tcW w:w="652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40,0</w:t>
            </w:r>
          </w:p>
        </w:tc>
        <w:tc>
          <w:tcPr>
            <w:tcW w:w="651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6,0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pacing w:val="-8"/>
                <w:sz w:val="14"/>
              </w:rPr>
              <w:t>Республика Башкортостан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19,2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37,4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37,9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36,7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5,3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21,7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28,0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46,7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32,6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30,3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55,0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42,4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4,9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13,4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47,6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33,4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31,6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6,1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17,7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33,0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45,6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41,9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5,0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27,4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34,9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33,3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37,4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4,3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7,4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32,3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55,4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44,4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9,6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30,3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55,0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43,7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3,2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Нижегородская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12,8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28,5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57,0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50,9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32,3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43,8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12,4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37,7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18,0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21,7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29,3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43,0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36,1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3,2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34,9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52,1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44,5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4,9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9,4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44,9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41,6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43,5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3,7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19,2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34,0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42,9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42,5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6,7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Уральский </w:t>
              <w:br/>
              <w:t>федеральный округ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6,6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42,7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34,6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14,3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41,4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36,2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43,0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32,4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17,4</w:t>
            </w:r>
          </w:p>
        </w:tc>
      </w:tr>
      <w:tr>
        <w:trPr>
          <w:trHeight w:val="134" w:hRule="atLeast"/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38,4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47,3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39,1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3,3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Свердловская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9,9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33,1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55,4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49,8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46,3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29,4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19,3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25,9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23,3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 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227" w:hanging="0"/>
              <w:rPr/>
            </w:pPr>
            <w:r>
              <w:rPr>
                <w:rFonts w:cs="Arial" w:ascii="Arial" w:hAnsi="Arial"/>
                <w:sz w:val="14"/>
              </w:rPr>
              <w:t xml:space="preserve">Ханты-Мансийский </w:t>
              <w:br/>
              <w:t>автономный округ – Югра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41,2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28,5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25,2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25,8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34,6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227" w:hanging="0"/>
              <w:rPr/>
            </w:pPr>
            <w:r>
              <w:rPr>
                <w:rFonts w:cs="Arial" w:ascii="Arial" w:hAnsi="Arial"/>
                <w:sz w:val="14"/>
              </w:rPr>
              <w:t xml:space="preserve">Ямало-Ненецкий </w:t>
              <w:br/>
              <w:t>автономный округ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58,5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23,5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14,7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63,0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21,9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14,4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227" w:hanging="0"/>
              <w:rPr/>
            </w:pPr>
            <w:r>
              <w:rPr>
                <w:rFonts w:cs="Arial" w:ascii="Arial" w:hAnsi="Arial"/>
                <w:sz w:val="14"/>
              </w:rPr>
              <w:t>Тюменская область</w:t>
              <w:br/>
              <w:t xml:space="preserve">без автономных </w:t>
              <w:br/>
              <w:t>округов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  <w:szCs w:val="14"/>
              </w:rPr>
            </w:pPr>
            <w:r>
              <w:rPr>
                <w:rFonts w:eastAsia="Arial Unicode MS"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36,0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11,6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34,3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51,7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50,6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2,3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 xml:space="preserve">Сибирский </w:t>
              <w:br/>
              <w:t>федеральный округ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10,8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37,9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47,3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3,9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38,2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43,2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12,2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37,0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44,2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6,6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54,4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23,8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27,1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3,3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12,9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36,2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42,5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8,4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40,2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4,9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9,9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45,8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25,4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18,9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35,7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4,3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52,4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35,6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11,1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46,3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3,5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34,4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43,2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47,5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3,6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8,6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57,2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31,2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36,9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8,8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9,1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40,8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47,0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42,5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9,8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9,1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36,4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50,6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43,4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8,2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8,2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34,1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56,2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52,1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1,4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Новосибирская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9,2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35,5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50,9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46,1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2,3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35,8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37,7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46,5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4,3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7,7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31,1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50,9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10,4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34,9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15,9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Heading2"/>
              <w:widowControl/>
              <w:numPr>
                <w:ilvl w:val="1"/>
                <w:numId w:val="1"/>
              </w:numPr>
              <w:spacing w:lineRule="exact" w:line="140" w:before="46" w:after="0"/>
              <w:rPr/>
            </w:pPr>
            <w:r>
              <w:rPr/>
              <w:t xml:space="preserve">Дальневосточный </w:t>
              <w:br/>
              <w:t>федеральный округ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6,1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58,0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31,5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b/>
                <w:b/>
                <w:bCs/>
                <w:sz w:val="14"/>
              </w:rPr>
            </w:pPr>
            <w:r>
              <w:rPr>
                <w:rFonts w:eastAsia="Arial Unicode MS" w:cs="Arial" w:ascii="Arial" w:hAnsi="Arial"/>
                <w:b/>
                <w:bCs/>
                <w:sz w:val="14"/>
              </w:rPr>
              <w:t>4,4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64,9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25,0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49,5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36,5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6,9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pacing w:val="-8"/>
                <w:sz w:val="14"/>
              </w:rPr>
              <w:t>Республика Саха (Якутия)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8,7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46,7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40,6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30,9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7,6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43,1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50,4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50,0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16,6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27,2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54,2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72,9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43,2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3,5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Хабаровский край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9,6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44,4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45,4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48,4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1,0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7,4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57,0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33,7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69,5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44,1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1,0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3,5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47,3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47,3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42,6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3,7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0,6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76,8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6,7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57,4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19,9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19,2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73,5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22,3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22,1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</w:t>
            </w:r>
          </w:p>
        </w:tc>
      </w:tr>
      <w:tr>
        <w:trPr>
          <w:cantSplit w:val="true"/>
        </w:trPr>
        <w:tc>
          <w:tcPr>
            <w:tcW w:w="1709" w:type="dxa"/>
            <w:tcBorders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  <w:tc>
          <w:tcPr>
            <w:tcW w:w="65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13,8</w:t>
            </w:r>
          </w:p>
        </w:tc>
        <w:tc>
          <w:tcPr>
            <w:tcW w:w="65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56,4</w:t>
            </w:r>
          </w:p>
        </w:tc>
        <w:tc>
          <w:tcPr>
            <w:tcW w:w="65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15,5</w:t>
            </w:r>
          </w:p>
        </w:tc>
        <w:tc>
          <w:tcPr>
            <w:tcW w:w="65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eastAsia="Arial Unicode MS" w:cs="Arial"/>
                <w:sz w:val="14"/>
              </w:rPr>
            </w:pPr>
            <w:r>
              <w:rPr>
                <w:rFonts w:eastAsia="Arial Unicode MS" w:cs="Arial" w:ascii="Arial" w:hAnsi="Arial"/>
                <w:sz w:val="14"/>
              </w:rPr>
              <w:t>14,2</w:t>
            </w:r>
          </w:p>
        </w:tc>
        <w:tc>
          <w:tcPr>
            <w:tcW w:w="65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65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35,4</w:t>
            </w:r>
          </w:p>
        </w:tc>
        <w:tc>
          <w:tcPr>
            <w:tcW w:w="65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56,1</w:t>
            </w:r>
          </w:p>
        </w:tc>
        <w:tc>
          <w:tcPr>
            <w:tcW w:w="653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4,6</w:t>
            </w:r>
          </w:p>
        </w:tc>
        <w:tc>
          <w:tcPr>
            <w:tcW w:w="65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0,2</w:t>
            </w:r>
          </w:p>
        </w:tc>
        <w:tc>
          <w:tcPr>
            <w:tcW w:w="65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51,8</w:t>
            </w:r>
          </w:p>
        </w:tc>
        <w:tc>
          <w:tcPr>
            <w:tcW w:w="65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45,9</w:t>
            </w:r>
          </w:p>
        </w:tc>
        <w:tc>
          <w:tcPr>
            <w:tcW w:w="651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2,2</w:t>
            </w:r>
          </w:p>
        </w:tc>
      </w:tr>
    </w:tbl>
    <w:p>
      <w:pPr>
        <w:pStyle w:val="Xl31"/>
        <w:spacing w:before="0" w:after="60"/>
        <w:rPr>
          <w:rFonts w:eastAsia="Times New Roman" w:cs="Times New Roman"/>
          <w:b/>
          <w:b/>
          <w:sz w:val="16"/>
          <w:szCs w:val="24"/>
        </w:rPr>
      </w:pPr>
      <w:r>
        <w:br w:type="page"/>
      </w:r>
      <w:r>
        <w:rPr>
          <w:rFonts w:eastAsia="Times New Roman" w:cs="Times New Roman"/>
          <w:b/>
          <w:sz w:val="16"/>
          <w:szCs w:val="24"/>
        </w:rPr>
      </w:r>
    </w:p>
    <w:tbl>
      <w:tblPr>
        <w:tblW w:w="9539" w:type="dxa"/>
        <w:jc w:val="center"/>
        <w:tblInd w:w="0" w:type="dxa"/>
        <w:tblBorders>
          <w:top w:val="single" w:sz="4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-7" w:type="dxa"/>
          <w:bottom w:w="0" w:type="dxa"/>
          <w:end w:w="0" w:type="dxa"/>
        </w:tblCellMar>
      </w:tblPr>
      <w:tblGrid>
        <w:gridCol w:w="652"/>
        <w:gridCol w:w="652"/>
        <w:gridCol w:w="653"/>
        <w:gridCol w:w="653"/>
        <w:gridCol w:w="652"/>
        <w:gridCol w:w="653"/>
        <w:gridCol w:w="653"/>
        <w:gridCol w:w="653"/>
        <w:gridCol w:w="652"/>
        <w:gridCol w:w="652"/>
        <w:gridCol w:w="652"/>
        <w:gridCol w:w="651"/>
        <w:gridCol w:w="1711"/>
      </w:tblGrid>
      <w:tr>
        <w:trPr>
          <w:trHeight w:val="227" w:hRule="atLeast"/>
          <w:cantSplit w:val="true"/>
        </w:trPr>
        <w:tc>
          <w:tcPr>
            <w:tcW w:w="2610" w:type="dxa"/>
            <w:gridSpan w:val="4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cs="Arial" w:ascii="Arial" w:hAnsi="Arial"/>
                <w:sz w:val="14"/>
              </w:rPr>
              <w:t>2014</w:t>
            </w:r>
          </w:p>
        </w:tc>
        <w:tc>
          <w:tcPr>
            <w:tcW w:w="2611" w:type="dxa"/>
            <w:gridSpan w:val="4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cs="Arial" w:ascii="Arial" w:hAnsi="Arial"/>
                <w:sz w:val="14"/>
              </w:rPr>
              <w:t>2015</w:t>
            </w:r>
          </w:p>
        </w:tc>
        <w:tc>
          <w:tcPr>
            <w:tcW w:w="2607" w:type="dxa"/>
            <w:gridSpan w:val="4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cs="Arial" w:ascii="Arial" w:hAnsi="Arial"/>
                <w:sz w:val="14"/>
              </w:rPr>
              <w:t>2016</w:t>
            </w:r>
          </w:p>
        </w:tc>
        <w:tc>
          <w:tcPr>
            <w:tcW w:w="1711" w:type="dxa"/>
            <w:vMerge w:val="restart"/>
            <w:tcBorders>
              <w:top w:val="single" w:sz="4" w:space="0" w:color="000000"/>
              <w:start w:val="single" w:sz="6" w:space="0" w:color="000000"/>
              <w:end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dnote"/>
              <w:widowControl/>
              <w:snapToGrid w:val="false"/>
              <w:spacing w:before="100" w:after="10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cs="Arial" w:ascii="Arial" w:hAnsi="Arial"/>
                <w:sz w:val="14"/>
                <w:lang w:val="en-US"/>
              </w:rPr>
            </w:r>
          </w:p>
        </w:tc>
      </w:tr>
      <w:tr>
        <w:trPr>
          <w:trHeight w:val="486" w:hRule="atLeast"/>
          <w:cantSplit w:val="true"/>
        </w:trPr>
        <w:tc>
          <w:tcPr>
            <w:tcW w:w="652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Жилища</w:t>
            </w:r>
          </w:p>
        </w:tc>
        <w:tc>
          <w:tcPr>
            <w:tcW w:w="652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>Здания</w:t>
              <w:br/>
              <w:t>(кроме жилых) и</w:t>
              <w:br/>
            </w:r>
            <w:r>
              <w:rPr>
                <w:rFonts w:cs="Arial" w:ascii="Arial" w:hAnsi="Arial"/>
                <w:spacing w:val="-4"/>
                <w:sz w:val="12"/>
                <w:szCs w:val="12"/>
              </w:rPr>
              <w:t>сооруже-</w:t>
            </w:r>
            <w:r>
              <w:rPr>
                <w:rFonts w:cs="Arial" w:ascii="Arial" w:hAnsi="Arial"/>
                <w:sz w:val="12"/>
                <w:szCs w:val="12"/>
              </w:rPr>
              <w:br/>
              <w:t>ния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 xml:space="preserve">Машины, </w:t>
              <w:br/>
              <w:t>оборудование, транспортные средства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Прочие</w:t>
            </w:r>
          </w:p>
        </w:tc>
        <w:tc>
          <w:tcPr>
            <w:tcW w:w="652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Жилища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>Здания</w:t>
              <w:br/>
              <w:t>(кроме жилых) и</w:t>
              <w:br/>
              <w:t>сооружения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 xml:space="preserve">Машины, </w:t>
              <w:br/>
              <w:t>оборудование, транспортные средства</w:t>
            </w:r>
          </w:p>
        </w:tc>
        <w:tc>
          <w:tcPr>
            <w:tcW w:w="653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Прочие</w:t>
            </w:r>
          </w:p>
        </w:tc>
        <w:tc>
          <w:tcPr>
            <w:tcW w:w="652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Жилища</w:t>
            </w:r>
          </w:p>
        </w:tc>
        <w:tc>
          <w:tcPr>
            <w:tcW w:w="652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>Здания</w:t>
              <w:br/>
              <w:t>(кроме жилых) и</w:t>
              <w:br/>
              <w:t>сооружения</w:t>
            </w:r>
          </w:p>
        </w:tc>
        <w:tc>
          <w:tcPr>
            <w:tcW w:w="652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Endnote"/>
              <w:widowControl/>
              <w:spacing w:lineRule="exact" w:line="130"/>
              <w:jc w:val="center"/>
              <w:rPr/>
            </w:pPr>
            <w:r>
              <w:rPr>
                <w:rFonts w:cs="Arial" w:ascii="Arial" w:hAnsi="Arial"/>
                <w:sz w:val="12"/>
                <w:szCs w:val="12"/>
              </w:rPr>
              <w:t xml:space="preserve">Машины, </w:t>
              <w:br/>
            </w:r>
            <w:r>
              <w:rPr>
                <w:rFonts w:cs="Arial" w:ascii="Arial" w:hAnsi="Arial"/>
                <w:spacing w:val="2"/>
                <w:sz w:val="12"/>
                <w:szCs w:val="12"/>
              </w:rPr>
              <w:t>оборудо-</w:t>
            </w:r>
            <w:r>
              <w:rPr>
                <w:rFonts w:cs="Arial" w:ascii="Arial" w:hAnsi="Arial"/>
                <w:sz w:val="12"/>
                <w:szCs w:val="12"/>
              </w:rPr>
              <w:br/>
              <w:t>вание, транспортные средства</w:t>
            </w:r>
          </w:p>
        </w:tc>
        <w:tc>
          <w:tcPr>
            <w:tcW w:w="651" w:type="dxa"/>
            <w:tcBorders>
              <w:top w:val="single" w:sz="4" w:space="0" w:color="000000"/>
              <w:start w:val="single" w:sz="6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Endnote"/>
              <w:widowControl/>
              <w:spacing w:lineRule="exact" w:line="13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Прочие</w:t>
            </w:r>
          </w:p>
        </w:tc>
        <w:tc>
          <w:tcPr>
            <w:tcW w:w="1711" w:type="dxa"/>
            <w:vMerge w:val="continue"/>
            <w:tcBorders>
              <w:top w:val="single" w:sz="4" w:space="0" w:color="000000"/>
              <w:start w:val="single" w:sz="6" w:space="0" w:color="000000"/>
              <w:end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Endnote"/>
              <w:widowControl/>
              <w:snapToGrid w:val="false"/>
              <w:spacing w:before="100" w:after="100"/>
              <w:jc w:val="center"/>
              <w:rPr>
                <w:rFonts w:ascii="Arial" w:hAnsi="Arial" w:cs="Arial"/>
                <w:sz w:val="14"/>
                <w:szCs w:val="12"/>
              </w:rPr>
            </w:pPr>
            <w:r>
              <w:rPr>
                <w:rFonts w:cs="Arial" w:ascii="Arial" w:hAnsi="Arial"/>
                <w:sz w:val="14"/>
                <w:szCs w:val="12"/>
              </w:rPr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20,4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36,2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36,4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7,0</w:t>
            </w:r>
          </w:p>
        </w:tc>
        <w:tc>
          <w:tcPr>
            <w:tcW w:w="652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21,5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38,1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32,9</w:t>
            </w:r>
          </w:p>
        </w:tc>
        <w:tc>
          <w:tcPr>
            <w:tcW w:w="653" w:type="dxa"/>
            <w:tcBorders>
              <w:top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7,4</w:t>
            </w:r>
          </w:p>
        </w:tc>
        <w:tc>
          <w:tcPr>
            <w:tcW w:w="652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22,1</w:t>
            </w:r>
          </w:p>
        </w:tc>
        <w:tc>
          <w:tcPr>
            <w:tcW w:w="652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38,4</w:t>
            </w:r>
          </w:p>
        </w:tc>
        <w:tc>
          <w:tcPr>
            <w:tcW w:w="652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32,4</w:t>
            </w:r>
          </w:p>
        </w:tc>
        <w:tc>
          <w:tcPr>
            <w:tcW w:w="651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7,1</w:t>
            </w:r>
          </w:p>
        </w:tc>
        <w:tc>
          <w:tcPr>
            <w:tcW w:w="1711" w:type="dxa"/>
            <w:tcBorders>
              <w:top w:val="single" w:sz="4" w:space="0" w:color="000000"/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Heading2"/>
              <w:widowControl/>
              <w:numPr>
                <w:ilvl w:val="1"/>
                <w:numId w:val="1"/>
              </w:numPr>
              <w:spacing w:lineRule="exact" w:line="140" w:before="46" w:after="0"/>
              <w:rPr/>
            </w:pPr>
            <w:r>
              <w:rPr/>
              <w:t>Приволжский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28,0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6,4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pacing w:val="-8"/>
                <w:sz w:val="14"/>
              </w:rPr>
              <w:t>Республика Башкортостан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32,0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2,9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Марий Эл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27,5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Мордовия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23,2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6,3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Республика Татарстан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41,8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7,7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Удмуртская Республика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26,8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Чувашская Республика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38,6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8,4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Пермский край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33,2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6,6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Кировская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41,1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Нижегородская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36,8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13,4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Оренбургская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33,7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5,2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Пензенская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39,0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11,9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Самарская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40,1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4,7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Саратовская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36,3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4,9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Ульяновская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44,2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28,3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18,1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46,0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27,1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17,8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53,9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21,6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16,9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jc w:val="center"/>
              <w:rPr/>
            </w:pPr>
            <w:r>
              <w:rPr>
                <w:rFonts w:cs="Arial" w:ascii="Arial" w:hAnsi="Arial"/>
                <w:b/>
                <w:sz w:val="14"/>
              </w:rPr>
              <w:t xml:space="preserve">Уральский </w:t>
              <w:br/>
              <w:t>федеральный округ</w:t>
            </w:r>
          </w:p>
        </w:tc>
      </w:tr>
      <w:tr>
        <w:trPr>
          <w:trHeight w:val="134" w:hRule="atLeast"/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44,8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Курганская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38,1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Свердловская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60,8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16,2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20,6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Тюменская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napToGrid w:val="false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397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в том числе: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22,5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43,0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227" w:hanging="0"/>
              <w:rPr/>
            </w:pPr>
            <w:r>
              <w:rPr>
                <w:rFonts w:cs="Arial" w:ascii="Arial" w:hAnsi="Arial"/>
                <w:sz w:val="14"/>
              </w:rPr>
              <w:t xml:space="preserve">Ханты-Мансийский </w:t>
              <w:br/>
              <w:t>автономный округ – Югра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65,7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66,0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83,7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8,8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7,1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227" w:hanging="0"/>
              <w:rPr/>
            </w:pPr>
            <w:r>
              <w:rPr>
                <w:rFonts w:cs="Arial" w:ascii="Arial" w:hAnsi="Arial"/>
                <w:sz w:val="14"/>
              </w:rPr>
              <w:t xml:space="preserve">Ямало-Ненецкий </w:t>
              <w:br/>
              <w:t>автономный округ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53,1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28,3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8,5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227" w:hanging="0"/>
              <w:rPr/>
            </w:pPr>
            <w:r>
              <w:rPr>
                <w:rFonts w:cs="Arial" w:ascii="Arial" w:hAnsi="Arial"/>
                <w:sz w:val="14"/>
              </w:rPr>
              <w:t>Тюменская область</w:t>
              <w:br/>
              <w:t xml:space="preserve">без автономных </w:t>
              <w:br/>
              <w:t>округов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40,1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48,9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Челябинская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15,1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39,3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39,4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6,2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16,9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42,0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33,2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13,2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44,5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35,3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7,0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jc w:val="center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b/>
                <w:sz w:val="14"/>
              </w:rPr>
              <w:t xml:space="preserve">Сибирский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54,2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20,2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24,3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4,9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Алтай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39,0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6,6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Бурятия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61,1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27,2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12,9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Тыва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15,3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43,8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Республика Хакасия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22,2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38,6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4,6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Алтайский край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52,0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37,3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7,4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Забайкальский край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30,4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7,2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Красноярский край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31,5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8,4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Иркутская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48,4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Кемеровская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32,5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29,6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39,8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5,5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Новосибирская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37,2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23,9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44,3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3,4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Омская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30,2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31,5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25,3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19,0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Томская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45,5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34,5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10,6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7,8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52,8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30,4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9,1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58,6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24,8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b/>
                <w:b/>
                <w:bCs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sz w:val="14"/>
                <w:szCs w:val="14"/>
              </w:rPr>
              <w:t>8,4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Heading2"/>
              <w:widowControl/>
              <w:numPr>
                <w:ilvl w:val="1"/>
                <w:numId w:val="1"/>
              </w:numPr>
              <w:spacing w:lineRule="exact" w:line="140" w:before="46" w:after="0"/>
              <w:rPr/>
            </w:pPr>
            <w:r>
              <w:rPr/>
              <w:t xml:space="preserve">Дальневосточный </w:t>
              <w:br/>
              <w:t>федеральный округ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55,4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24,4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62,2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21,3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8,9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pacing w:val="-8"/>
                <w:sz w:val="14"/>
              </w:rPr>
              <w:t>Республика Саха (Якутия)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46,9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43,6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2,1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Камчатский край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12,8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34,2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45,5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17,1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41,5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5,9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Приморский край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10,7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47,9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58,1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33,7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9,0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50,0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36,0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Хабаровский край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12,3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27,3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70,8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19,5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73,9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16,8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3,8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Амурская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56,5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59,6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35,9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51,6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38,7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8,1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Магаданская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5,1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39,4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26,7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48,6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28,8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18,9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6,5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14,5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14,4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Сахалинская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16,7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64,0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18,7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0,6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11,3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67,8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18,8</w:t>
            </w:r>
          </w:p>
        </w:tc>
        <w:tc>
          <w:tcPr>
            <w:tcW w:w="653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2,2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8,4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77,4</w:t>
            </w:r>
          </w:p>
        </w:tc>
        <w:tc>
          <w:tcPr>
            <w:tcW w:w="652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13,7</w:t>
            </w:r>
          </w:p>
        </w:tc>
        <w:tc>
          <w:tcPr>
            <w:tcW w:w="651" w:type="dxa"/>
            <w:tcBorders/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0,5</w:t>
            </w:r>
          </w:p>
        </w:tc>
        <w:tc>
          <w:tcPr>
            <w:tcW w:w="1711" w:type="dxa"/>
            <w:tcBorders>
              <w:end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Еврейская автономная область</w:t>
            </w:r>
          </w:p>
        </w:tc>
      </w:tr>
      <w:tr>
        <w:trPr>
          <w:cantSplit w:val="true"/>
        </w:trPr>
        <w:tc>
          <w:tcPr>
            <w:tcW w:w="6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1,9</w:t>
            </w:r>
          </w:p>
        </w:tc>
        <w:tc>
          <w:tcPr>
            <w:tcW w:w="6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58,6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36,1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3,5</w:t>
            </w:r>
          </w:p>
        </w:tc>
        <w:tc>
          <w:tcPr>
            <w:tcW w:w="6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1,7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44,7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41,4</w:t>
            </w:r>
          </w:p>
        </w:tc>
        <w:tc>
          <w:tcPr>
            <w:tcW w:w="653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hanging="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12,1</w:t>
            </w:r>
          </w:p>
        </w:tc>
        <w:tc>
          <w:tcPr>
            <w:tcW w:w="6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1,8</w:t>
            </w:r>
          </w:p>
        </w:tc>
        <w:tc>
          <w:tcPr>
            <w:tcW w:w="6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49,0</w:t>
            </w:r>
          </w:p>
        </w:tc>
        <w:tc>
          <w:tcPr>
            <w:tcW w:w="652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42,9</w:t>
            </w:r>
          </w:p>
        </w:tc>
        <w:tc>
          <w:tcPr>
            <w:tcW w:w="65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end="170" w:firstLine="140"/>
              <w:jc w:val="end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cs="Arial" w:ascii="Arial" w:hAnsi="Arial"/>
                <w:sz w:val="14"/>
                <w:szCs w:val="14"/>
              </w:rPr>
              <w:t>6,3</w:t>
            </w:r>
          </w:p>
        </w:tc>
        <w:tc>
          <w:tcPr>
            <w:tcW w:w="1711" w:type="dxa"/>
            <w:tcBorders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exact" w:line="140" w:before="46" w:after="0"/>
              <w:ind w:start="113" w:hanging="0"/>
              <w:rPr/>
            </w:pPr>
            <w:r>
              <w:rPr>
                <w:rFonts w:cs="Arial" w:ascii="Arial" w:hAnsi="Arial"/>
                <w:sz w:val="14"/>
              </w:rPr>
              <w:t>Чукотский автономный округ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91" w:right="1191" w:header="0" w:top="1418" w:footer="0" w:bottom="1418" w:gutter="0"/>
      <w:pgNumType w:start="28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Wingdings">
    <w:charset w:val="02"/>
    <w:family w:val="auto"/>
    <w:pitch w:val="variable"/>
  </w:font>
  <w:font w:name="Courier New">
    <w:charset w:val="cc" w:characterSet="windows-1251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Arial Unicode MS"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"/>
      <w:lvlJc w:val="start"/>
      <w:pPr>
        <w:tabs>
          <w:tab w:val="num" w:pos="1080"/>
        </w:tabs>
        <w:ind w:start="1060" w:hanging="34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start"/>
      <w:pPr>
        <w:tabs>
          <w:tab w:val="num" w:pos="2160"/>
        </w:tabs>
        <w:ind w:star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start"/>
      <w:pPr>
        <w:tabs>
          <w:tab w:val="num" w:pos="4320"/>
        </w:tabs>
        <w:ind w:star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start"/>
      <w:pPr>
        <w:tabs>
          <w:tab w:val="num" w:pos="5760"/>
        </w:tabs>
        <w:ind w:star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start"/>
      <w:pPr>
        <w:tabs>
          <w:tab w:val="num" w:pos="6480"/>
        </w:tabs>
        <w:ind w:star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start"/>
      <w:pPr>
        <w:tabs>
          <w:tab w:val="num" w:pos="7200"/>
        </w:tabs>
        <w:ind w:star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927"/>
        </w:tabs>
        <w:ind w:start="0" w:hanging="-567"/>
      </w:pPr>
      <w:rPr>
        <w:i w:val="false"/>
        <w:b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1571"/>
        </w:tabs>
        <w:ind w:start="1571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2291"/>
        </w:tabs>
        <w:ind w:start="2291" w:hanging="360"/>
      </w:pPr>
      <w:rPr/>
    </w:lvl>
    <w:lvl w:ilvl="2">
      <w:start w:val="1"/>
      <w:numFmt w:val="lowerRoman"/>
      <w:lvlText w:val="%3."/>
      <w:lvlJc w:val="end"/>
      <w:pPr>
        <w:tabs>
          <w:tab w:val="num" w:pos="3011"/>
        </w:tabs>
        <w:ind w:start="3011" w:hanging="180"/>
      </w:pPr>
      <w:rPr/>
    </w:lvl>
    <w:lvl w:ilvl="3">
      <w:start w:val="1"/>
      <w:numFmt w:val="decimal"/>
      <w:lvlText w:val="%4."/>
      <w:lvlJc w:val="start"/>
      <w:pPr>
        <w:tabs>
          <w:tab w:val="num" w:pos="3731"/>
        </w:tabs>
        <w:ind w:start="3731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4451"/>
        </w:tabs>
        <w:ind w:start="4451" w:hanging="360"/>
      </w:pPr>
      <w:rPr/>
    </w:lvl>
    <w:lvl w:ilvl="5">
      <w:start w:val="1"/>
      <w:numFmt w:val="lowerRoman"/>
      <w:lvlText w:val="%6."/>
      <w:lvlJc w:val="end"/>
      <w:pPr>
        <w:tabs>
          <w:tab w:val="num" w:pos="5171"/>
        </w:tabs>
        <w:ind w:start="5171" w:hanging="180"/>
      </w:pPr>
      <w:rPr/>
    </w:lvl>
    <w:lvl w:ilvl="6">
      <w:start w:val="1"/>
      <w:numFmt w:val="decimal"/>
      <w:lvlText w:val="%7."/>
      <w:lvlJc w:val="start"/>
      <w:pPr>
        <w:tabs>
          <w:tab w:val="num" w:pos="5891"/>
        </w:tabs>
        <w:ind w:start="5891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6611"/>
        </w:tabs>
        <w:ind w:start="6611" w:hanging="360"/>
      </w:pPr>
      <w:rPr/>
    </w:lvl>
    <w:lvl w:ilvl="8">
      <w:start w:val="1"/>
      <w:numFmt w:val="lowerRoman"/>
      <w:lvlText w:val="%9."/>
      <w:lvlJc w:val="end"/>
      <w:pPr>
        <w:tabs>
          <w:tab w:val="num" w:pos="7331"/>
        </w:tabs>
        <w:ind w:start="7331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spacing w:lineRule="exact" w:line="172" w:before="80" w:after="0"/>
      <w:jc w:val="center"/>
      <w:outlineLvl w:val="1"/>
    </w:pPr>
    <w:rPr>
      <w:rFonts w:ascii="Arial" w:hAnsi="Arial" w:cs="Arial"/>
      <w:b/>
      <w:sz w:val="14"/>
      <w:szCs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30" w:after="0"/>
      <w:ind w:start="113" w:hanging="0"/>
      <w:outlineLvl w:val="2"/>
    </w:pPr>
    <w:rPr>
      <w:rFonts w:ascii="Arial" w:hAnsi="Arial" w:cs="Arial"/>
      <w:b/>
      <w:sz w:val="14"/>
      <w:szCs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exact" w:line="184" w:before="28" w:after="0"/>
      <w:outlineLvl w:val="3"/>
    </w:pPr>
    <w:rPr>
      <w:rFonts w:ascii="Arial" w:hAnsi="Arial" w:cs="Arial"/>
      <w:b/>
      <w:sz w:val="14"/>
      <w:szCs w:val="2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exact" w:line="170" w:before="30" w:after="0"/>
      <w:ind w:end="142" w:hanging="0"/>
      <w:jc w:val="center"/>
      <w:outlineLvl w:val="4"/>
    </w:pPr>
    <w:rPr>
      <w:rFonts w:ascii="Arial" w:hAnsi="Arial" w:cs="Arial"/>
      <w:b/>
      <w:sz w:val="14"/>
      <w:szCs w:val="20"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5"/>
        <w:numId w:val="1"/>
      </w:numPr>
      <w:spacing w:lineRule="exact" w:line="150" w:before="36" w:after="0"/>
      <w:ind w:start="113" w:hanging="0"/>
      <w:jc w:val="center"/>
      <w:outlineLvl w:val="5"/>
    </w:pPr>
    <w:rPr>
      <w:rFonts w:ascii="Arial" w:hAnsi="Arial" w:cs="Arial"/>
      <w:b/>
      <w:sz w:val="14"/>
      <w:szCs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exact" w:line="184"/>
      <w:ind w:start="284" w:hanging="0"/>
      <w:jc w:val="center"/>
      <w:outlineLvl w:val="6"/>
    </w:pPr>
    <w:rPr>
      <w:rFonts w:ascii="Arial" w:hAnsi="Arial" w:cs="Arial"/>
      <w:b/>
      <w:bCs/>
      <w:sz w:val="14"/>
      <w:szCs w:val="20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Arial" w:hAnsi="Arial" w:cs="Arial"/>
      <w:b/>
      <w:caps/>
      <w:color w:val="000000"/>
      <w:sz w:val="20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b/>
      <w:i w:val="false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6">
    <w:name w:val="Основной шрифт абзаца"/>
    <w:qFormat/>
    <w:rPr/>
  </w:style>
  <w:style w:type="character" w:styleId="PageNumber">
    <w:name w:val="Page Number"/>
    <w:basedOn w:val="Style6"/>
    <w:rPr/>
  </w:style>
  <w:style w:type="character" w:styleId="InternetLink">
    <w:name w:val="Internet Link"/>
    <w:rPr>
      <w:rFonts w:cs="Times New Roman"/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jc w:val="center"/>
    </w:pPr>
    <w:rPr>
      <w:rFonts w:ascii="Arial" w:hAnsi="Arial" w:cs="Arial"/>
      <w:sz w:val="14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Endnote">
    <w:name w:val="Endnote Text"/>
    <w:basedOn w:val="Normal"/>
    <w:pPr>
      <w:widowControl w:val="false"/>
    </w:pPr>
    <w:rPr>
      <w:sz w:val="20"/>
      <w:szCs w:val="20"/>
    </w:rPr>
  </w:style>
  <w:style w:type="paragraph" w:styleId="2">
    <w:name w:val="Основной текст 2"/>
    <w:basedOn w:val="Normal"/>
    <w:qFormat/>
    <w:pPr>
      <w:spacing w:before="0" w:after="24"/>
      <w:jc w:val="center"/>
    </w:pPr>
    <w:rPr>
      <w:rFonts w:ascii="Arial" w:hAnsi="Arial" w:cs="Arial"/>
      <w:b/>
      <w:spacing w:val="-2"/>
      <w:sz w:val="16"/>
      <w:szCs w:val="20"/>
    </w:rPr>
  </w:style>
  <w:style w:type="paragraph" w:styleId="Style7">
    <w:name w:val="Название объекта"/>
    <w:basedOn w:val="Normal"/>
    <w:next w:val="Normal"/>
    <w:qFormat/>
    <w:pPr>
      <w:spacing w:before="0" w:after="24"/>
      <w:jc w:val="center"/>
    </w:pPr>
    <w:rPr>
      <w:rFonts w:ascii="Arial" w:hAnsi="Arial" w:cs="Arial"/>
      <w:b/>
      <w:sz w:val="16"/>
      <w:szCs w:val="20"/>
    </w:rPr>
  </w:style>
  <w:style w:type="paragraph" w:styleId="TextBodyIndent">
    <w:name w:val="Body Text Indent"/>
    <w:basedOn w:val="Normal"/>
    <w:pPr>
      <w:ind w:firstLine="284"/>
      <w:jc w:val="both"/>
    </w:pPr>
    <w:rPr>
      <w:rFonts w:ascii="Arial" w:hAnsi="Arial" w:cs="Arial"/>
      <w:sz w:val="16"/>
      <w:szCs w:val="20"/>
    </w:rPr>
  </w:style>
  <w:style w:type="paragraph" w:styleId="Style8">
    <w:name w:val="Обычный (веб)"/>
    <w:basedOn w:val="Normal"/>
    <w:qFormat/>
    <w:pPr>
      <w:spacing w:before="280" w:after="280"/>
    </w:pPr>
    <w:rPr>
      <w:rFonts w:ascii="Arial Unicode MS" w:hAnsi="Arial Unicode MS" w:eastAsia="Arial Unicode MS" w:cs="Arial Unicode MS"/>
    </w:rPr>
  </w:style>
  <w:style w:type="paragraph" w:styleId="Contents7">
    <w:name w:val="TOC 7"/>
    <w:basedOn w:val="Normal"/>
    <w:next w:val="Normal"/>
    <w:pPr>
      <w:tabs>
        <w:tab w:val="left" w:pos="8646" w:leader="dot"/>
        <w:tab w:val="right" w:pos="9072" w:leader="none"/>
      </w:tabs>
      <w:ind w:start="4253" w:end="850" w:hanging="0"/>
    </w:pPr>
    <w:rPr>
      <w:sz w:val="20"/>
      <w:szCs w:val="20"/>
    </w:rPr>
  </w:style>
  <w:style w:type="paragraph" w:styleId="116">
    <w:name w:val="Список 116"/>
    <w:basedOn w:val="Normal"/>
    <w:qFormat/>
    <w:pPr>
      <w:numPr>
        <w:ilvl w:val="0"/>
        <w:numId w:val="3"/>
      </w:numPr>
      <w:tabs>
        <w:tab w:val="left" w:pos="360" w:leader="none"/>
      </w:tabs>
      <w:spacing w:before="120" w:after="120"/>
      <w:ind w:start="360" w:hanging="360"/>
      <w:jc w:val="both"/>
    </w:pPr>
    <w:rPr>
      <w:sz w:val="16"/>
      <w:szCs w:val="20"/>
    </w:rPr>
  </w:style>
  <w:style w:type="paragraph" w:styleId="8">
    <w:name w:val="Список с маркерами8"/>
    <w:basedOn w:val="TextBody"/>
    <w:qFormat/>
    <w:pPr>
      <w:numPr>
        <w:ilvl w:val="0"/>
        <w:numId w:val="2"/>
      </w:numPr>
      <w:tabs>
        <w:tab w:val="left" w:pos="360" w:leader="none"/>
      </w:tabs>
      <w:autoSpaceDE w:val="false"/>
      <w:spacing w:lineRule="auto" w:line="288" w:before="120" w:after="0"/>
      <w:ind w:start="360" w:hanging="360"/>
      <w:jc w:val="both"/>
    </w:pPr>
    <w:rPr>
      <w:rFonts w:ascii="Times New Roman" w:hAnsi="Times New Roman" w:cs="Times New Roman"/>
      <w:sz w:val="26"/>
    </w:rPr>
  </w:style>
  <w:style w:type="paragraph" w:styleId="Style9">
    <w:name w:val="Абзац"/>
    <w:basedOn w:val="Normal"/>
    <w:qFormat/>
    <w:pPr>
      <w:overflowPunct w:val="false"/>
      <w:autoSpaceDE w:val="false"/>
      <w:spacing w:before="120" w:after="0"/>
      <w:ind w:firstLine="1276"/>
      <w:jc w:val="both"/>
      <w:textAlignment w:val="baseline"/>
    </w:pPr>
    <w:rPr>
      <w:sz w:val="16"/>
      <w:szCs w:val="20"/>
    </w:rPr>
  </w:style>
  <w:style w:type="paragraph" w:styleId="81">
    <w:name w:val="Список с номерами8"/>
    <w:basedOn w:val="Style9"/>
    <w:qFormat/>
    <w:pPr>
      <w:numPr>
        <w:ilvl w:val="0"/>
        <w:numId w:val="4"/>
      </w:numPr>
      <w:tabs>
        <w:tab w:val="left" w:pos="360" w:leader="none"/>
        <w:tab w:val="left" w:pos="1276" w:leader="none"/>
      </w:tabs>
      <w:overflowPunct w:val="true"/>
      <w:autoSpaceDE w:val="true"/>
      <w:ind w:start="0" w:firstLine="851"/>
      <w:textAlignment w:val="auto"/>
    </w:pPr>
    <w:rPr/>
  </w:style>
  <w:style w:type="paragraph" w:styleId="3">
    <w:name w:val="çàãîëîâîê 3"/>
    <w:basedOn w:val="Normal"/>
    <w:next w:val="Normal"/>
    <w:qFormat/>
    <w:pPr>
      <w:keepNext w:val="true"/>
      <w:widowControl w:val="false"/>
      <w:spacing w:before="120" w:after="120"/>
      <w:jc w:val="center"/>
    </w:pPr>
    <w:rPr>
      <w:b/>
      <w:sz w:val="16"/>
      <w:szCs w:val="20"/>
    </w:rPr>
  </w:style>
  <w:style w:type="paragraph" w:styleId="Cells">
    <w:name w:val="Cells"/>
    <w:basedOn w:val="Normal"/>
    <w:qFormat/>
    <w:pPr/>
    <w:rPr>
      <w:rFonts w:ascii="Arial" w:hAnsi="Arial" w:cs="Arial"/>
      <w:sz w:val="16"/>
      <w:szCs w:val="20"/>
      <w:lang w:val="en-US"/>
    </w:rPr>
  </w:style>
  <w:style w:type="paragraph" w:styleId="Style10">
    <w:name w:val="текст конц. сноски"/>
    <w:basedOn w:val="Normal"/>
    <w:qFormat/>
    <w:pPr/>
    <w:rPr>
      <w:sz w:val="20"/>
      <w:szCs w:val="20"/>
    </w:rPr>
  </w:style>
  <w:style w:type="paragraph" w:styleId="Normal1">
    <w:name w:val="LO-Normal"/>
    <w:qFormat/>
    <w:pPr>
      <w:widowControl w:val="false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Xl24">
    <w:name w:val="xl24"/>
    <w:basedOn w:val="Normal"/>
    <w:qFormat/>
    <w:pPr>
      <w:spacing w:before="100" w:after="100"/>
      <w:jc w:val="end"/>
    </w:pPr>
    <w:rPr>
      <w:sz w:val="16"/>
      <w:szCs w:val="20"/>
    </w:rPr>
  </w:style>
  <w:style w:type="paragraph" w:styleId="Xl2423">
    <w:name w:val="xl2423"/>
    <w:basedOn w:val="Normal"/>
    <w:qFormat/>
    <w:pPr>
      <w:spacing w:before="100" w:after="100"/>
      <w:jc w:val="center"/>
    </w:pPr>
    <w:rPr>
      <w:rFonts w:eastAsia="Arial Unicode MS"/>
      <w:sz w:val="16"/>
      <w:szCs w:val="20"/>
    </w:rPr>
  </w:style>
  <w:style w:type="paragraph" w:styleId="Xl40">
    <w:name w:val="xl40"/>
    <w:basedOn w:val="Normal"/>
    <w:qFormat/>
    <w:pPr>
      <w:spacing w:before="100" w:after="100"/>
    </w:pPr>
    <w:rPr>
      <w:rFonts w:ascii="Courier New" w:hAnsi="Courier New" w:eastAsia="Arial Unicode MS" w:cs="Courier New"/>
      <w:sz w:val="16"/>
      <w:szCs w:val="20"/>
    </w:rPr>
  </w:style>
  <w:style w:type="paragraph" w:styleId="Xl27">
    <w:name w:val="xl27"/>
    <w:basedOn w:val="Normal"/>
    <w:qFormat/>
    <w:pPr>
      <w:pBdr>
        <w:bottom w:val="single" w:sz="4" w:space="0" w:color="808080"/>
        <w:right w:val="double" w:sz="6" w:space="0" w:color="000000"/>
      </w:pBdr>
      <w:spacing w:before="100" w:after="100"/>
      <w:jc w:val="end"/>
    </w:pPr>
    <w:rPr>
      <w:rFonts w:eastAsia="Arial Unicode MS"/>
      <w:sz w:val="16"/>
      <w:szCs w:val="20"/>
    </w:rPr>
  </w:style>
  <w:style w:type="paragraph" w:styleId="31">
    <w:name w:val="çàãîëîâîê 31"/>
    <w:basedOn w:val="Normal"/>
    <w:next w:val="Normal"/>
    <w:qFormat/>
    <w:pPr>
      <w:keepNext w:val="true"/>
      <w:widowControl w:val="false"/>
      <w:spacing w:before="120" w:after="120"/>
      <w:jc w:val="center"/>
    </w:pPr>
    <w:rPr>
      <w:b/>
      <w:sz w:val="16"/>
      <w:szCs w:val="20"/>
    </w:rPr>
  </w:style>
  <w:style w:type="paragraph" w:styleId="Xl25">
    <w:name w:val="xl25"/>
    <w:basedOn w:val="Normal"/>
    <w:qFormat/>
    <w:pPr>
      <w:spacing w:before="280" w:after="280"/>
    </w:pPr>
    <w:rPr>
      <w:rFonts w:ascii="Arial" w:hAnsi="Arial" w:eastAsia="Arial Unicode MS" w:cs="Arial"/>
      <w:b/>
      <w:bCs/>
      <w:sz w:val="14"/>
      <w:szCs w:val="14"/>
    </w:rPr>
  </w:style>
  <w:style w:type="paragraph" w:styleId="Xl26">
    <w:name w:val="xl26"/>
    <w:basedOn w:val="Normal"/>
    <w:qFormat/>
    <w:pPr>
      <w:spacing w:before="280" w:after="280"/>
    </w:pPr>
    <w:rPr>
      <w:rFonts w:ascii="Arial" w:hAnsi="Arial" w:eastAsia="Arial Unicode MS" w:cs="Arial"/>
      <w:b/>
      <w:bCs/>
      <w:sz w:val="14"/>
      <w:szCs w:val="14"/>
    </w:rPr>
  </w:style>
  <w:style w:type="paragraph" w:styleId="Xl28">
    <w:name w:val="xl28"/>
    <w:basedOn w:val="Normal"/>
    <w:qFormat/>
    <w:pPr>
      <w:spacing w:before="280" w:after="280"/>
    </w:pPr>
    <w:rPr>
      <w:rFonts w:ascii="Arial" w:hAnsi="Arial" w:eastAsia="Arial Unicode MS" w:cs="Arial"/>
      <w:b/>
      <w:bCs/>
      <w:sz w:val="14"/>
      <w:szCs w:val="14"/>
    </w:rPr>
  </w:style>
  <w:style w:type="paragraph" w:styleId="Xl29">
    <w:name w:val="xl29"/>
    <w:basedOn w:val="Normal"/>
    <w:qFormat/>
    <w:pPr>
      <w:spacing w:before="280" w:after="280"/>
    </w:pPr>
    <w:rPr>
      <w:rFonts w:ascii="Arial" w:hAnsi="Arial" w:eastAsia="Arial Unicode MS" w:cs="Arial"/>
      <w:sz w:val="14"/>
      <w:szCs w:val="14"/>
    </w:rPr>
  </w:style>
  <w:style w:type="paragraph" w:styleId="Xl30">
    <w:name w:val="xl30"/>
    <w:basedOn w:val="Normal"/>
    <w:qFormat/>
    <w:pPr>
      <w:spacing w:before="280" w:after="280"/>
    </w:pPr>
    <w:rPr>
      <w:rFonts w:ascii="Arial" w:hAnsi="Arial" w:eastAsia="Arial Unicode MS" w:cs="Arial"/>
      <w:sz w:val="14"/>
      <w:szCs w:val="14"/>
    </w:rPr>
  </w:style>
  <w:style w:type="paragraph" w:styleId="Xl31">
    <w:name w:val="xl31"/>
    <w:basedOn w:val="Normal"/>
    <w:qFormat/>
    <w:pPr>
      <w:spacing w:before="280" w:after="280"/>
      <w:jc w:val="end"/>
    </w:pPr>
    <w:rPr>
      <w:rFonts w:ascii="Arial" w:hAnsi="Arial" w:eastAsia="Arial Unicode MS" w:cs="Arial"/>
      <w:sz w:val="14"/>
      <w:szCs w:val="14"/>
    </w:rPr>
  </w:style>
  <w:style w:type="paragraph" w:styleId="57">
    <w:name w:val="заголовок5.7"/>
    <w:basedOn w:val="Normal"/>
    <w:next w:val="Normal"/>
    <w:qFormat/>
    <w:pPr>
      <w:keepNext w:val="true"/>
    </w:pPr>
    <w:rPr>
      <w:b/>
      <w:sz w:val="16"/>
      <w:szCs w:val="20"/>
    </w:rPr>
  </w:style>
  <w:style w:type="paragraph" w:styleId="Xl401">
    <w:name w:val="xl401"/>
    <w:basedOn w:val="Normal"/>
    <w:qFormat/>
    <w:pPr>
      <w:spacing w:before="100" w:after="100"/>
    </w:pPr>
    <w:rPr>
      <w:rFonts w:ascii="Courier New" w:hAnsi="Courier New" w:eastAsia="Arial Unicode MS" w:cs="Courier New"/>
      <w:sz w:val="16"/>
      <w:szCs w:val="20"/>
    </w:rPr>
  </w:style>
  <w:style w:type="paragraph" w:styleId="Contents2">
    <w:name w:val="TOC 2"/>
    <w:basedOn w:val="Normal"/>
    <w:next w:val="Normal"/>
    <w:pPr>
      <w:tabs>
        <w:tab w:val="left" w:pos="8646" w:leader="dot"/>
        <w:tab w:val="right" w:pos="9072" w:leader="none"/>
      </w:tabs>
      <w:ind w:start="709" w:end="850" w:hanging="0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2017-12-27T14:18:00Z</dcterms:created>
  <dc:creator>User</dc:creator>
  <dc:description/>
  <cp:keywords/>
  <dc:language>en-US</dc:language>
  <cp:lastModifiedBy>Администратор ЭП</cp:lastModifiedBy>
  <cp:lastPrinted>2017-12-19T11:28:00Z</cp:lastPrinted>
  <dcterms:modified xsi:type="dcterms:W3CDTF">2017-12-27T14:20:00Z</dcterms:modified>
  <cp:revision>3</cp:revision>
  <dc:subject/>
  <dc:title> </dc:title>
</cp:coreProperties>
</file>