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val="en-US"/>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r>
        <w:rPr>
          <w:rFonts w:ascii="Garamond" w:hAnsi="Garamond"/>
          <w:b/>
          <w:sz w:val="44"/>
          <w:szCs w:val="44"/>
        </w:rPr>
        <w:t xml:space="preserve">INVESTIGATION – </w:t>
      </w:r>
    </w:p>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440B3F2F" w:rsidR="00541552" w:rsidRPr="00C15715" w:rsidRDefault="00541552" w:rsidP="00541552">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00B472C6">
        <w:rPr>
          <w:rFonts w:ascii="Garamond" w:hAnsi="Garamond"/>
          <w:b/>
          <w:sz w:val="26"/>
          <w:szCs w:val="26"/>
        </w:rPr>
        <w:t xml:space="preserve"> Jamie Coulson</w:t>
      </w:r>
      <w:r w:rsidRPr="00C15715">
        <w:rPr>
          <w:rFonts w:ascii="Garamond" w:hAnsi="Garamond"/>
          <w:sz w:val="26"/>
          <w:szCs w:val="26"/>
        </w:rPr>
        <w:tab/>
      </w:r>
      <w:r w:rsidRPr="00C15715">
        <w:rPr>
          <w:rFonts w:ascii="Garamond" w:hAnsi="Garamond"/>
          <w:b/>
          <w:sz w:val="26"/>
          <w:szCs w:val="26"/>
        </w:rPr>
        <w:tab/>
        <w:t xml:space="preserve">Teacher: </w:t>
      </w:r>
      <w:r w:rsidR="00375F8E">
        <w:rPr>
          <w:rFonts w:ascii="Garamond" w:hAnsi="Garamond"/>
          <w:b/>
          <w:sz w:val="26"/>
          <w:szCs w:val="26"/>
        </w:rPr>
        <w:t>Mr. Kandiah</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r w:rsidRPr="00C15715">
        <w:rPr>
          <w:rFonts w:ascii="Garamond" w:hAnsi="Garamond"/>
          <w:i/>
          <w:sz w:val="26"/>
          <w:szCs w:val="26"/>
        </w:rPr>
        <w:t>Globalisation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use research methods to collect and record appropriate, varied and relevant  information</w:t>
      </w:r>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8"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6D91EE35" w:rsidR="0014557D" w:rsidRPr="00E5388F" w:rsidRDefault="00E5388F" w:rsidP="0014557D">
      <w:pPr>
        <w:pStyle w:val="BodyText"/>
        <w:rPr>
          <w:rFonts w:ascii="Garamond" w:hAnsi="Garamond"/>
          <w:b/>
          <w:bCs/>
          <w:szCs w:val="24"/>
          <w:u w:val="single"/>
        </w:rPr>
      </w:pPr>
      <w:r>
        <w:rPr>
          <w:rFonts w:ascii="Garamond" w:hAnsi="Garamond"/>
          <w:b/>
          <w:bCs/>
          <w:szCs w:val="24"/>
          <w:u w:val="single"/>
        </w:rPr>
        <w:t>Investment Strategy</w:t>
      </w:r>
    </w:p>
    <w:p w14:paraId="7AD01447" w14:textId="77777777" w:rsidR="00E5388F" w:rsidRDefault="00E5388F" w:rsidP="0014557D">
      <w:pPr>
        <w:pStyle w:val="BodyText"/>
        <w:rPr>
          <w:rFonts w:ascii="Garamond" w:hAnsi="Garamond"/>
          <w:bCs/>
          <w:i/>
          <w:szCs w:val="24"/>
        </w:rPr>
      </w:pPr>
    </w:p>
    <w:p w14:paraId="126C6297" w14:textId="2B9BBA19" w:rsidR="00E5388F" w:rsidRDefault="00E5388F" w:rsidP="0014557D">
      <w:pPr>
        <w:pStyle w:val="BodyText"/>
        <w:rPr>
          <w:rFonts w:ascii="Garamond" w:hAnsi="Garamond"/>
          <w:bCs/>
          <w:szCs w:val="24"/>
        </w:rPr>
      </w:pPr>
      <w:r>
        <w:rPr>
          <w:rFonts w:ascii="Garamond" w:hAnsi="Garamond"/>
          <w:bCs/>
          <w:szCs w:val="24"/>
        </w:rPr>
        <w:t>I have selected four stocks with a mix a two stable companies, one offshore technology company and one Australian mid cap company with exposure to the east coast infrastructure projects.</w:t>
      </w:r>
    </w:p>
    <w:p w14:paraId="35DAF2A7" w14:textId="77777777" w:rsidR="00E5388F" w:rsidRDefault="00E5388F" w:rsidP="0014557D">
      <w:pPr>
        <w:pStyle w:val="BodyText"/>
        <w:rPr>
          <w:rFonts w:ascii="Garamond" w:hAnsi="Garamond"/>
          <w:bCs/>
          <w:szCs w:val="24"/>
        </w:rPr>
      </w:pPr>
    </w:p>
    <w:p w14:paraId="103F2B39" w14:textId="77777777" w:rsidR="00E5388F" w:rsidRPr="00E5388F" w:rsidRDefault="00E5388F" w:rsidP="0014557D">
      <w:pPr>
        <w:pStyle w:val="BodyText"/>
        <w:rPr>
          <w:rFonts w:ascii="Garamond" w:hAnsi="Garamond"/>
          <w:bCs/>
          <w:szCs w:val="24"/>
        </w:rPr>
      </w:pPr>
    </w:p>
    <w:p w14:paraId="1BA6EAFF" w14:textId="77777777" w:rsidR="00E5388F" w:rsidRDefault="00E5388F" w:rsidP="0014557D">
      <w:pPr>
        <w:pStyle w:val="BodyText"/>
        <w:rPr>
          <w:rFonts w:ascii="Garamond" w:hAnsi="Garamond"/>
          <w:bCs/>
          <w:i/>
          <w:szCs w:val="24"/>
        </w:rPr>
      </w:pPr>
    </w:p>
    <w:p w14:paraId="3E7E3D19" w14:textId="61748447" w:rsidR="0014557D" w:rsidRPr="00176195" w:rsidRDefault="001E0DBA" w:rsidP="0014557D">
      <w:pPr>
        <w:pStyle w:val="BodyText"/>
        <w:rPr>
          <w:rFonts w:ascii="Garamond" w:hAnsi="Garamond"/>
          <w:b/>
          <w:iCs/>
          <w:szCs w:val="24"/>
        </w:rPr>
      </w:pPr>
      <w:r w:rsidRPr="00176195">
        <w:rPr>
          <w:rFonts w:ascii="Garamond" w:hAnsi="Garamond"/>
          <w:b/>
          <w:iCs/>
          <w:szCs w:val="24"/>
        </w:rPr>
        <w:t>Wesfarmers</w:t>
      </w:r>
      <w:r w:rsidR="00176195">
        <w:rPr>
          <w:rFonts w:ascii="Garamond" w:hAnsi="Garamond"/>
          <w:b/>
          <w:iCs/>
          <w:szCs w:val="24"/>
        </w:rPr>
        <w:t xml:space="preserve"> Ltd</w:t>
      </w:r>
      <w:r w:rsidRPr="00176195">
        <w:rPr>
          <w:rFonts w:ascii="Garamond" w:hAnsi="Garamond"/>
          <w:b/>
          <w:iCs/>
          <w:szCs w:val="24"/>
        </w:rPr>
        <w:t xml:space="preserve"> </w:t>
      </w:r>
      <w:r w:rsidR="00F07E47">
        <w:rPr>
          <w:rFonts w:ascii="Garamond" w:hAnsi="Garamond"/>
          <w:b/>
          <w:iCs/>
          <w:szCs w:val="24"/>
        </w:rPr>
        <w:t>(</w:t>
      </w:r>
      <w:r w:rsidRPr="00176195">
        <w:rPr>
          <w:rFonts w:ascii="Garamond" w:hAnsi="Garamond"/>
          <w:b/>
          <w:iCs/>
          <w:szCs w:val="24"/>
        </w:rPr>
        <w:t>ASX:WES</w:t>
      </w:r>
      <w:r w:rsidR="00F07E47">
        <w:rPr>
          <w:rFonts w:ascii="Garamond" w:hAnsi="Garamond"/>
          <w:b/>
          <w:iCs/>
          <w:szCs w:val="24"/>
        </w:rPr>
        <w:t>)</w:t>
      </w:r>
    </w:p>
    <w:p w14:paraId="4FDF238C" w14:textId="2B39AB93" w:rsidR="001E0DBA" w:rsidRDefault="001E0DBA" w:rsidP="0014557D">
      <w:pPr>
        <w:pStyle w:val="BodyText"/>
        <w:rPr>
          <w:rFonts w:ascii="Garamond" w:hAnsi="Garamond"/>
          <w:bCs/>
          <w:iCs/>
          <w:szCs w:val="24"/>
        </w:rPr>
      </w:pPr>
      <w:r>
        <w:rPr>
          <w:rFonts w:ascii="Garamond" w:hAnsi="Garamond"/>
          <w:bCs/>
          <w:iCs/>
          <w:szCs w:val="24"/>
        </w:rPr>
        <w:t>Weighting: 25%</w:t>
      </w:r>
    </w:p>
    <w:p w14:paraId="0EF66C4B" w14:textId="19769791" w:rsidR="00B20A6B" w:rsidRDefault="00B20A6B" w:rsidP="0014557D">
      <w:pPr>
        <w:pStyle w:val="BodyText"/>
        <w:rPr>
          <w:rFonts w:ascii="Garamond" w:hAnsi="Garamond"/>
          <w:bCs/>
          <w:iCs/>
          <w:szCs w:val="24"/>
        </w:rPr>
      </w:pPr>
      <w:r>
        <w:rPr>
          <w:rFonts w:ascii="Garamond" w:hAnsi="Garamond"/>
          <w:bCs/>
          <w:iCs/>
          <w:szCs w:val="24"/>
        </w:rPr>
        <w:t>Cost of share: $42.62</w:t>
      </w:r>
    </w:p>
    <w:p w14:paraId="75A16266" w14:textId="11A30DDC" w:rsidR="00B20A6B" w:rsidRDefault="00B20A6B" w:rsidP="0014557D">
      <w:pPr>
        <w:pStyle w:val="BodyText"/>
        <w:rPr>
          <w:rFonts w:ascii="Garamond" w:hAnsi="Garamond"/>
          <w:bCs/>
          <w:iCs/>
          <w:szCs w:val="24"/>
        </w:rPr>
      </w:pPr>
      <w:r>
        <w:rPr>
          <w:rFonts w:ascii="Garamond" w:hAnsi="Garamond"/>
          <w:bCs/>
          <w:iCs/>
          <w:szCs w:val="24"/>
        </w:rPr>
        <w:t>Volume: 250,000 / 42.62 = 4,005 shares</w:t>
      </w:r>
    </w:p>
    <w:p w14:paraId="0B85E89E" w14:textId="77777777" w:rsidR="001E0DBA" w:rsidRDefault="001E0DBA" w:rsidP="0014557D">
      <w:pPr>
        <w:pStyle w:val="BodyText"/>
        <w:rPr>
          <w:rFonts w:ascii="Garamond" w:hAnsi="Garamond"/>
          <w:bCs/>
          <w:iCs/>
          <w:szCs w:val="24"/>
        </w:rPr>
      </w:pPr>
    </w:p>
    <w:p w14:paraId="3BF166CE" w14:textId="0C896418" w:rsidR="00B20A6B" w:rsidRDefault="00147041" w:rsidP="00B20A6B">
      <w:pPr>
        <w:pStyle w:val="BodyText"/>
        <w:rPr>
          <w:rFonts w:ascii="Garamond" w:hAnsi="Garamond"/>
          <w:bCs/>
          <w:iCs/>
          <w:szCs w:val="24"/>
        </w:rPr>
      </w:pPr>
      <w:r>
        <w:rPr>
          <w:rFonts w:ascii="Garamond" w:hAnsi="Garamond"/>
          <w:bCs/>
          <w:iCs/>
          <w:szCs w:val="24"/>
        </w:rPr>
        <w:t xml:space="preserve">Wesfarmers in an Australian Conglomerate </w:t>
      </w:r>
      <w:r w:rsidR="000814CC">
        <w:rPr>
          <w:rFonts w:ascii="Garamond" w:hAnsi="Garamond"/>
          <w:bCs/>
          <w:iCs/>
          <w:szCs w:val="24"/>
        </w:rPr>
        <w:t>which owns a variety of busin</w:t>
      </w:r>
      <w:r w:rsidR="00CA6C4E">
        <w:rPr>
          <w:rFonts w:ascii="Garamond" w:hAnsi="Garamond"/>
          <w:bCs/>
          <w:iCs/>
          <w:szCs w:val="24"/>
        </w:rPr>
        <w:t>esses in many different sectors (ie insurance, food retail, hardware retail and other investements).</w:t>
      </w:r>
      <w:r w:rsidR="000814CC">
        <w:rPr>
          <w:rFonts w:ascii="Garamond" w:hAnsi="Garamond"/>
          <w:bCs/>
          <w:iCs/>
          <w:szCs w:val="24"/>
        </w:rPr>
        <w:t xml:space="preserve"> This gives the company </w:t>
      </w:r>
      <w:r w:rsidR="00E5388F">
        <w:rPr>
          <w:rFonts w:ascii="Garamond" w:hAnsi="Garamond"/>
          <w:bCs/>
          <w:iCs/>
          <w:szCs w:val="24"/>
        </w:rPr>
        <w:t>exposure to the Australian economy in a broader sense (they sell a lot of different products from insurance to groceries) a</w:t>
      </w:r>
      <w:r w:rsidR="00400553">
        <w:rPr>
          <w:rFonts w:ascii="Garamond" w:hAnsi="Garamond"/>
          <w:bCs/>
          <w:iCs/>
          <w:szCs w:val="24"/>
        </w:rPr>
        <w:t xml:space="preserve">s well the opportunity to take </w:t>
      </w:r>
      <w:r w:rsidR="00E5388F">
        <w:rPr>
          <w:rFonts w:ascii="Garamond" w:hAnsi="Garamond"/>
          <w:bCs/>
          <w:iCs/>
          <w:szCs w:val="24"/>
        </w:rPr>
        <w:t>its successful business models (ie Bunnings) into different markets like the UK</w:t>
      </w:r>
    </w:p>
    <w:p w14:paraId="56E2928A" w14:textId="77777777" w:rsidR="00B20A6B" w:rsidRDefault="00B20A6B" w:rsidP="00B20A6B">
      <w:pPr>
        <w:pStyle w:val="BodyText"/>
        <w:rPr>
          <w:rFonts w:ascii="Garamond" w:hAnsi="Garamond"/>
          <w:bCs/>
          <w:iCs/>
          <w:szCs w:val="24"/>
        </w:rPr>
      </w:pPr>
    </w:p>
    <w:p w14:paraId="606252BE" w14:textId="5637BE5D" w:rsidR="003B3809" w:rsidRDefault="00B20A6B" w:rsidP="00B20A6B">
      <w:pPr>
        <w:pStyle w:val="BodyText"/>
        <w:rPr>
          <w:rFonts w:ascii="Garamond" w:hAnsi="Garamond"/>
          <w:bCs/>
          <w:iCs/>
          <w:szCs w:val="24"/>
        </w:rPr>
      </w:pPr>
      <w:r>
        <w:rPr>
          <w:rFonts w:ascii="Garamond" w:hAnsi="Garamond"/>
          <w:bCs/>
          <w:iCs/>
          <w:szCs w:val="24"/>
        </w:rPr>
        <w:t xml:space="preserve">Wesfarmers recently acquired HOMEBASE in the UK and have used it as a </w:t>
      </w:r>
      <w:r w:rsidR="003B3809">
        <w:rPr>
          <w:rFonts w:ascii="Garamond" w:hAnsi="Garamond"/>
          <w:bCs/>
          <w:iCs/>
          <w:szCs w:val="24"/>
        </w:rPr>
        <w:t>platform</w:t>
      </w:r>
      <w:r>
        <w:rPr>
          <w:rFonts w:ascii="Garamond" w:hAnsi="Garamond"/>
          <w:bCs/>
          <w:iCs/>
          <w:szCs w:val="24"/>
        </w:rPr>
        <w:t xml:space="preserve"> </w:t>
      </w:r>
      <w:r w:rsidR="00361E9E">
        <w:rPr>
          <w:rFonts w:ascii="Garamond" w:hAnsi="Garamond"/>
          <w:bCs/>
          <w:iCs/>
          <w:szCs w:val="24"/>
        </w:rPr>
        <w:t>for the</w:t>
      </w:r>
      <w:r>
        <w:rPr>
          <w:rFonts w:ascii="Garamond" w:hAnsi="Garamond"/>
          <w:bCs/>
          <w:iCs/>
          <w:szCs w:val="24"/>
        </w:rPr>
        <w:t xml:space="preserve"> Bunnings</w:t>
      </w:r>
      <w:r w:rsidR="00361E9E">
        <w:rPr>
          <w:rFonts w:ascii="Garamond" w:hAnsi="Garamond"/>
          <w:bCs/>
          <w:iCs/>
          <w:szCs w:val="24"/>
        </w:rPr>
        <w:t xml:space="preserve"> business entry to the UK market.</w:t>
      </w:r>
      <w:r w:rsidR="00CA6C4E">
        <w:rPr>
          <w:rFonts w:ascii="Garamond" w:hAnsi="Garamond"/>
          <w:bCs/>
          <w:iCs/>
          <w:szCs w:val="24"/>
        </w:rPr>
        <w:t xml:space="preserve"> </w:t>
      </w:r>
      <w:r>
        <w:rPr>
          <w:rFonts w:ascii="Garamond" w:hAnsi="Garamond"/>
          <w:bCs/>
          <w:iCs/>
          <w:szCs w:val="24"/>
        </w:rPr>
        <w:t xml:space="preserve">The expansion of the Bunnings </w:t>
      </w:r>
      <w:r w:rsidR="00361E9E">
        <w:rPr>
          <w:rFonts w:ascii="Garamond" w:hAnsi="Garamond"/>
          <w:bCs/>
          <w:iCs/>
          <w:szCs w:val="24"/>
        </w:rPr>
        <w:t>business</w:t>
      </w:r>
      <w:r w:rsidR="00927233">
        <w:rPr>
          <w:rFonts w:ascii="Garamond" w:hAnsi="Garamond"/>
          <w:bCs/>
          <w:iCs/>
          <w:szCs w:val="24"/>
        </w:rPr>
        <w:t>, if successful,</w:t>
      </w:r>
      <w:r>
        <w:rPr>
          <w:rFonts w:ascii="Garamond" w:hAnsi="Garamond"/>
          <w:bCs/>
          <w:iCs/>
          <w:szCs w:val="24"/>
        </w:rPr>
        <w:t xml:space="preserve"> </w:t>
      </w:r>
      <w:r w:rsidR="00927233">
        <w:rPr>
          <w:rFonts w:ascii="Garamond" w:hAnsi="Garamond"/>
          <w:bCs/>
          <w:iCs/>
          <w:szCs w:val="24"/>
        </w:rPr>
        <w:t>will aid</w:t>
      </w:r>
      <w:r>
        <w:rPr>
          <w:rFonts w:ascii="Garamond" w:hAnsi="Garamond"/>
          <w:bCs/>
          <w:iCs/>
          <w:szCs w:val="24"/>
        </w:rPr>
        <w:t xml:space="preserve"> Wesfarmers financia</w:t>
      </w:r>
      <w:r w:rsidR="00176195">
        <w:rPr>
          <w:rFonts w:ascii="Garamond" w:hAnsi="Garamond"/>
          <w:bCs/>
          <w:iCs/>
          <w:szCs w:val="24"/>
        </w:rPr>
        <w:t xml:space="preserve">l growth and has also </w:t>
      </w:r>
      <w:r w:rsidR="00927233">
        <w:rPr>
          <w:rFonts w:ascii="Garamond" w:hAnsi="Garamond"/>
          <w:bCs/>
          <w:iCs/>
          <w:szCs w:val="24"/>
        </w:rPr>
        <w:t>gained</w:t>
      </w:r>
      <w:r w:rsidR="00176195">
        <w:rPr>
          <w:rFonts w:ascii="Garamond" w:hAnsi="Garamond"/>
          <w:bCs/>
          <w:iCs/>
          <w:szCs w:val="24"/>
        </w:rPr>
        <w:t xml:space="preserve"> the</w:t>
      </w:r>
      <w:r>
        <w:rPr>
          <w:rFonts w:ascii="Garamond" w:hAnsi="Garamond"/>
          <w:bCs/>
          <w:iCs/>
          <w:szCs w:val="24"/>
        </w:rPr>
        <w:t xml:space="preserve">m </w:t>
      </w:r>
      <w:r w:rsidR="00927233">
        <w:rPr>
          <w:rFonts w:ascii="Garamond" w:hAnsi="Garamond"/>
          <w:bCs/>
          <w:iCs/>
          <w:szCs w:val="24"/>
        </w:rPr>
        <w:t>access to a completely new market which they may roll other Wesfarmers business’s into</w:t>
      </w:r>
      <w:r w:rsidR="00CA6C4E">
        <w:rPr>
          <w:rFonts w:ascii="Garamond" w:hAnsi="Garamond"/>
          <w:bCs/>
          <w:iCs/>
          <w:szCs w:val="24"/>
        </w:rPr>
        <w:t>,</w:t>
      </w:r>
      <w:r w:rsidR="00927233">
        <w:rPr>
          <w:rFonts w:ascii="Garamond" w:hAnsi="Garamond"/>
          <w:bCs/>
          <w:iCs/>
          <w:szCs w:val="24"/>
        </w:rPr>
        <w:t xml:space="preserve"> allowing for even more financial growth.</w:t>
      </w:r>
    </w:p>
    <w:p w14:paraId="1123ED67" w14:textId="77777777" w:rsidR="003B3809" w:rsidRDefault="003B3809" w:rsidP="00B20A6B">
      <w:pPr>
        <w:pStyle w:val="BodyText"/>
        <w:rPr>
          <w:rFonts w:ascii="Garamond" w:hAnsi="Garamond"/>
          <w:bCs/>
          <w:iCs/>
          <w:szCs w:val="24"/>
        </w:rPr>
      </w:pPr>
    </w:p>
    <w:p w14:paraId="375761B3" w14:textId="0A5D11E8" w:rsidR="00B20A6B" w:rsidRDefault="00927233" w:rsidP="00B20A6B">
      <w:pPr>
        <w:pStyle w:val="BodyText"/>
        <w:rPr>
          <w:rFonts w:ascii="Garamond" w:hAnsi="Garamond"/>
          <w:bCs/>
          <w:iCs/>
          <w:szCs w:val="24"/>
        </w:rPr>
      </w:pPr>
      <w:r>
        <w:rPr>
          <w:rFonts w:ascii="Garamond" w:hAnsi="Garamond"/>
          <w:bCs/>
          <w:iCs/>
          <w:szCs w:val="24"/>
        </w:rPr>
        <w:t xml:space="preserve">Given the success of the Bunnings business the expansion into the UK is considered reasonably low risk, this combined with the mature nature of the groups other </w:t>
      </w:r>
      <w:r w:rsidR="00CA6C4E">
        <w:rPr>
          <w:rFonts w:ascii="Garamond" w:hAnsi="Garamond"/>
          <w:bCs/>
          <w:iCs/>
          <w:szCs w:val="24"/>
        </w:rPr>
        <w:t>businesses</w:t>
      </w:r>
      <w:r>
        <w:rPr>
          <w:rFonts w:ascii="Garamond" w:hAnsi="Garamond"/>
          <w:bCs/>
          <w:iCs/>
          <w:szCs w:val="24"/>
        </w:rPr>
        <w:t xml:space="preserve"> should allow it to maintain the current </w:t>
      </w:r>
      <w:r w:rsidR="00CA6C4E">
        <w:rPr>
          <w:rFonts w:ascii="Garamond" w:hAnsi="Garamond"/>
          <w:bCs/>
          <w:iCs/>
          <w:szCs w:val="24"/>
        </w:rPr>
        <w:t>dividend policy and share price so I see it as a reasonable safe investment with some potential upside.</w:t>
      </w:r>
    </w:p>
    <w:p w14:paraId="4CE48405" w14:textId="77777777" w:rsidR="00176195" w:rsidRDefault="00176195" w:rsidP="00B20A6B">
      <w:pPr>
        <w:pStyle w:val="BodyText"/>
        <w:rPr>
          <w:rFonts w:ascii="Garamond" w:hAnsi="Garamond"/>
          <w:bCs/>
          <w:iCs/>
          <w:szCs w:val="24"/>
        </w:rPr>
      </w:pPr>
    </w:p>
    <w:p w14:paraId="2E5EFD45" w14:textId="4486F1EC" w:rsidR="00147041" w:rsidRDefault="00176195" w:rsidP="00CD1558">
      <w:pPr>
        <w:pStyle w:val="BodyText"/>
        <w:rPr>
          <w:rFonts w:ascii="Garamond" w:hAnsi="Garamond"/>
          <w:b/>
          <w:iCs/>
          <w:szCs w:val="24"/>
        </w:rPr>
      </w:pPr>
      <w:r>
        <w:rPr>
          <w:rFonts w:ascii="Garamond" w:hAnsi="Garamond"/>
          <w:b/>
          <w:iCs/>
          <w:szCs w:val="24"/>
        </w:rPr>
        <w:t>Australian and New Zealand</w:t>
      </w:r>
      <w:r w:rsidR="00F07E47">
        <w:rPr>
          <w:rFonts w:ascii="Garamond" w:hAnsi="Garamond"/>
          <w:b/>
          <w:iCs/>
          <w:szCs w:val="24"/>
        </w:rPr>
        <w:t xml:space="preserve"> Banking Group (ASX:ANZ)</w:t>
      </w:r>
    </w:p>
    <w:p w14:paraId="51016A87" w14:textId="79193842" w:rsidR="00F07E47" w:rsidRDefault="00F07E47" w:rsidP="00CD1558">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4E038BDB" w14:textId="395BA005" w:rsidR="00F07E47" w:rsidRDefault="00F07E47" w:rsidP="00CD1558">
      <w:pPr>
        <w:pStyle w:val="BodyText"/>
        <w:rPr>
          <w:rFonts w:ascii="Garamond" w:hAnsi="Garamond"/>
          <w:bCs/>
          <w:iCs/>
          <w:szCs w:val="24"/>
        </w:rPr>
      </w:pPr>
      <w:r>
        <w:rPr>
          <w:rFonts w:ascii="Garamond" w:hAnsi="Garamond"/>
          <w:bCs/>
          <w:iCs/>
          <w:szCs w:val="24"/>
        </w:rPr>
        <w:t>Cost of share: 28.22</w:t>
      </w:r>
    </w:p>
    <w:p w14:paraId="0151C768" w14:textId="1EB844C9" w:rsidR="00F07E47" w:rsidRDefault="00F07E47" w:rsidP="00CD1558">
      <w:pPr>
        <w:pStyle w:val="BodyText"/>
        <w:rPr>
          <w:rFonts w:ascii="Garamond" w:hAnsi="Garamond"/>
          <w:bCs/>
          <w:iCs/>
          <w:szCs w:val="24"/>
        </w:rPr>
      </w:pPr>
      <w:r>
        <w:rPr>
          <w:rFonts w:ascii="Garamond" w:hAnsi="Garamond"/>
          <w:bCs/>
          <w:iCs/>
          <w:szCs w:val="24"/>
        </w:rPr>
        <w:t>Volume: 250,000 / 28.22 = 8,858 shares</w:t>
      </w:r>
    </w:p>
    <w:p w14:paraId="52B5ACF0" w14:textId="77777777" w:rsidR="00F07E47" w:rsidRDefault="00F07E47" w:rsidP="00CD1558">
      <w:pPr>
        <w:pStyle w:val="BodyText"/>
        <w:rPr>
          <w:rFonts w:ascii="Garamond" w:hAnsi="Garamond"/>
          <w:bCs/>
          <w:iCs/>
          <w:szCs w:val="24"/>
        </w:rPr>
      </w:pPr>
    </w:p>
    <w:p w14:paraId="1E33A571" w14:textId="272A247B" w:rsidR="00F07E47" w:rsidRDefault="00F07E47" w:rsidP="00547F3C">
      <w:pPr>
        <w:pStyle w:val="BodyText"/>
        <w:rPr>
          <w:rFonts w:ascii="Garamond" w:hAnsi="Garamond"/>
          <w:bCs/>
          <w:iCs/>
          <w:szCs w:val="24"/>
        </w:rPr>
      </w:pPr>
      <w:r w:rsidRPr="00F07E47">
        <w:rPr>
          <w:rFonts w:ascii="Garamond" w:hAnsi="Garamond"/>
          <w:bCs/>
          <w:iCs/>
          <w:szCs w:val="24"/>
        </w:rPr>
        <w:t>Australian and New Zealand Banking Group</w:t>
      </w:r>
      <w:r w:rsidR="002E45BA">
        <w:rPr>
          <w:rFonts w:ascii="Garamond" w:hAnsi="Garamond"/>
          <w:bCs/>
          <w:iCs/>
          <w:szCs w:val="24"/>
        </w:rPr>
        <w:t xml:space="preserve"> </w:t>
      </w:r>
      <w:r w:rsidR="00927233">
        <w:rPr>
          <w:rFonts w:ascii="Garamond" w:hAnsi="Garamond"/>
          <w:bCs/>
          <w:iCs/>
          <w:szCs w:val="24"/>
        </w:rPr>
        <w:t xml:space="preserve">)”ANZ”) </w:t>
      </w:r>
      <w:r w:rsidR="002E45BA">
        <w:rPr>
          <w:rFonts w:ascii="Garamond" w:hAnsi="Garamond"/>
          <w:bCs/>
          <w:iCs/>
          <w:szCs w:val="24"/>
        </w:rPr>
        <w:t>is the fourth largest bank by mark</w:t>
      </w:r>
      <w:r w:rsidR="00927233">
        <w:rPr>
          <w:rFonts w:ascii="Garamond" w:hAnsi="Garamond"/>
          <w:bCs/>
          <w:iCs/>
          <w:szCs w:val="24"/>
        </w:rPr>
        <w:t>et capitalisation in Australia and is included in the Australian Government deposit guarantee scheme. The big four Australian banks are considered to have a protected market because the Government guarantee combined preferential treatment by the bank regulator (APRA) allows them to have a lower cost base than other international and smaller (ie Bank Of Queensland) Australian banks in the market and they are able to make greater profits that are passed onto shareholders.</w:t>
      </w:r>
    </w:p>
    <w:p w14:paraId="69C78AF1" w14:textId="77777777" w:rsidR="00927233" w:rsidRDefault="00927233" w:rsidP="00547F3C">
      <w:pPr>
        <w:pStyle w:val="BodyText"/>
        <w:rPr>
          <w:rFonts w:ascii="Garamond" w:hAnsi="Garamond"/>
          <w:bCs/>
          <w:iCs/>
          <w:szCs w:val="24"/>
        </w:rPr>
      </w:pPr>
    </w:p>
    <w:p w14:paraId="16C64FDD" w14:textId="3C83D9DF" w:rsidR="00927233" w:rsidRDefault="00927233" w:rsidP="00547F3C">
      <w:pPr>
        <w:pStyle w:val="BodyText"/>
        <w:rPr>
          <w:rFonts w:ascii="Garamond" w:hAnsi="Garamond"/>
          <w:bCs/>
          <w:iCs/>
          <w:szCs w:val="24"/>
        </w:rPr>
      </w:pPr>
      <w:r>
        <w:rPr>
          <w:rFonts w:ascii="Garamond" w:hAnsi="Garamond"/>
          <w:bCs/>
          <w:iCs/>
          <w:szCs w:val="24"/>
        </w:rPr>
        <w:t>The preferential regulatory regime also means that ANZ business is unlikely to be threatened by any emerging and disruptive business models (like the Uber has threatened the Taxi industry, the barriers to entering the Australian banking market are much higher so a banking equivalent of Uber is unlikely).</w:t>
      </w:r>
    </w:p>
    <w:p w14:paraId="2F84B564" w14:textId="39418440" w:rsidR="00CA6C4E" w:rsidRDefault="00CA6C4E" w:rsidP="00547F3C">
      <w:pPr>
        <w:pStyle w:val="BodyText"/>
        <w:rPr>
          <w:rFonts w:ascii="Garamond" w:hAnsi="Garamond"/>
          <w:bCs/>
          <w:iCs/>
          <w:szCs w:val="24"/>
        </w:rPr>
      </w:pPr>
      <w:r>
        <w:rPr>
          <w:rFonts w:ascii="Garamond" w:hAnsi="Garamond"/>
          <w:bCs/>
          <w:iCs/>
          <w:szCs w:val="24"/>
        </w:rPr>
        <w:lastRenderedPageBreak/>
        <w:t>I don’t have any real preference for one of the big four banks over the other three, so I selected ANZ because I like blue.</w:t>
      </w:r>
    </w:p>
    <w:p w14:paraId="3E9BE7C8" w14:textId="77777777" w:rsidR="00547F3C" w:rsidRDefault="00547F3C" w:rsidP="00547F3C">
      <w:pPr>
        <w:pStyle w:val="BodyText"/>
        <w:rPr>
          <w:rFonts w:ascii="Garamond" w:hAnsi="Garamond"/>
          <w:bCs/>
          <w:iCs/>
          <w:szCs w:val="24"/>
        </w:rPr>
      </w:pPr>
    </w:p>
    <w:p w14:paraId="400168D7" w14:textId="77777777" w:rsidR="00D63EBB" w:rsidRDefault="00D63EBB" w:rsidP="00BF3C7E">
      <w:pPr>
        <w:pStyle w:val="BodyText"/>
        <w:rPr>
          <w:rFonts w:ascii="Garamond" w:hAnsi="Garamond"/>
          <w:bCs/>
          <w:iCs/>
          <w:szCs w:val="24"/>
        </w:rPr>
      </w:pPr>
    </w:p>
    <w:p w14:paraId="111FDA06" w14:textId="59E672A3" w:rsidR="00D63EBB" w:rsidRDefault="00D63EBB" w:rsidP="00BF3C7E">
      <w:pPr>
        <w:pStyle w:val="BodyText"/>
        <w:rPr>
          <w:rFonts w:ascii="Garamond" w:hAnsi="Garamond"/>
          <w:b/>
          <w:iCs/>
          <w:szCs w:val="24"/>
        </w:rPr>
      </w:pPr>
      <w:r>
        <w:rPr>
          <w:rFonts w:ascii="Garamond" w:hAnsi="Garamond"/>
          <w:b/>
          <w:iCs/>
          <w:szCs w:val="24"/>
        </w:rPr>
        <w:t>NVIDIA Corporation</w:t>
      </w:r>
    </w:p>
    <w:p w14:paraId="0DFBCA76" w14:textId="46D2B108" w:rsidR="00D63EBB" w:rsidRDefault="00D63EBB" w:rsidP="00BF3C7E">
      <w:pPr>
        <w:pStyle w:val="BodyText"/>
        <w:rPr>
          <w:rFonts w:ascii="Garamond" w:hAnsi="Garamond"/>
          <w:bCs/>
          <w:iCs/>
          <w:szCs w:val="24"/>
        </w:rPr>
      </w:pPr>
      <w:r>
        <w:rPr>
          <w:rFonts w:ascii="Garamond" w:hAnsi="Garamond"/>
          <w:bCs/>
          <w:iCs/>
          <w:szCs w:val="24"/>
        </w:rPr>
        <w:t>Weighting: 25%</w:t>
      </w:r>
    </w:p>
    <w:p w14:paraId="78C8B4F2" w14:textId="77777777" w:rsidR="00D63EBB" w:rsidRDefault="00D63EBB" w:rsidP="00BF3C7E">
      <w:pPr>
        <w:pStyle w:val="BodyText"/>
        <w:rPr>
          <w:rFonts w:ascii="Garamond" w:hAnsi="Garamond"/>
          <w:bCs/>
          <w:iCs/>
          <w:szCs w:val="24"/>
        </w:rPr>
      </w:pPr>
    </w:p>
    <w:p w14:paraId="1BDE6955" w14:textId="0755440D" w:rsidR="00D63EBB" w:rsidRDefault="00D63EBB" w:rsidP="00BF3C7E">
      <w:pPr>
        <w:pStyle w:val="BodyText"/>
        <w:rPr>
          <w:rFonts w:ascii="Garamond" w:hAnsi="Garamond"/>
          <w:bCs/>
          <w:iCs/>
          <w:szCs w:val="24"/>
        </w:rPr>
      </w:pPr>
      <w:r>
        <w:rPr>
          <w:rFonts w:ascii="Garamond" w:hAnsi="Garamond"/>
          <w:bCs/>
          <w:iCs/>
          <w:szCs w:val="24"/>
        </w:rPr>
        <w:t xml:space="preserve">NVIDIA </w:t>
      </w:r>
      <w:r w:rsidR="006B206D">
        <w:rPr>
          <w:rFonts w:ascii="Garamond" w:hAnsi="Garamond"/>
          <w:bCs/>
          <w:iCs/>
          <w:szCs w:val="24"/>
        </w:rPr>
        <w:t>Corporation is a Technology Design and Manufacturing company that mainly produces Graphics Processing Units (GPU) for the gaming and professional market.</w:t>
      </w:r>
      <w:r w:rsidR="0052746E">
        <w:rPr>
          <w:rFonts w:ascii="Garamond" w:hAnsi="Garamond"/>
          <w:bCs/>
          <w:iCs/>
          <w:szCs w:val="24"/>
        </w:rPr>
        <w:t xml:space="preserve"> NVIDIA have a forecasted dividend of 0.50c for the next two year which represents a 22.78% increase of the dividend of the previous year.</w:t>
      </w:r>
      <w:r w:rsidR="006619D2">
        <w:rPr>
          <w:rFonts w:ascii="Garamond" w:hAnsi="Garamond"/>
          <w:bCs/>
          <w:iCs/>
          <w:szCs w:val="24"/>
        </w:rPr>
        <w:t xml:space="preserve"> </w:t>
      </w:r>
    </w:p>
    <w:p w14:paraId="4678FEB3" w14:textId="77777777" w:rsidR="006619D2" w:rsidRDefault="006619D2" w:rsidP="00BF3C7E">
      <w:pPr>
        <w:pStyle w:val="BodyText"/>
        <w:rPr>
          <w:rFonts w:ascii="Garamond" w:hAnsi="Garamond"/>
          <w:bCs/>
          <w:iCs/>
          <w:szCs w:val="24"/>
        </w:rPr>
      </w:pPr>
    </w:p>
    <w:p w14:paraId="541C3BFB" w14:textId="3374B848" w:rsidR="00CA6C4E" w:rsidRDefault="006619D2" w:rsidP="006619D2">
      <w:pPr>
        <w:pStyle w:val="BodyText"/>
        <w:rPr>
          <w:rFonts w:ascii="Garamond" w:hAnsi="Garamond"/>
          <w:bCs/>
          <w:iCs/>
          <w:szCs w:val="24"/>
        </w:rPr>
      </w:pPr>
      <w:r>
        <w:rPr>
          <w:rFonts w:ascii="Garamond" w:hAnsi="Garamond"/>
          <w:bCs/>
          <w:iCs/>
          <w:szCs w:val="24"/>
        </w:rPr>
        <w:t xml:space="preserve">The company recently released its new flagship GPU the GeForce GTX 1080 Ti which drastically increased the stock price of the company. </w:t>
      </w:r>
      <w:r w:rsidR="00CA6C4E">
        <w:rPr>
          <w:rFonts w:ascii="Garamond" w:hAnsi="Garamond"/>
          <w:bCs/>
          <w:iCs/>
          <w:szCs w:val="24"/>
        </w:rPr>
        <w:t xml:space="preserve">Of specific interest to my investment decision is </w:t>
      </w:r>
      <w:r>
        <w:rPr>
          <w:rFonts w:ascii="Garamond" w:hAnsi="Garamond"/>
          <w:bCs/>
          <w:iCs/>
          <w:szCs w:val="24"/>
        </w:rPr>
        <w:t xml:space="preserve">the company </w:t>
      </w:r>
      <w:r w:rsidR="00CA6C4E">
        <w:rPr>
          <w:rFonts w:ascii="Garamond" w:hAnsi="Garamond"/>
          <w:bCs/>
          <w:iCs/>
          <w:szCs w:val="24"/>
        </w:rPr>
        <w:t xml:space="preserve">is expected to be </w:t>
      </w:r>
      <w:r>
        <w:rPr>
          <w:rFonts w:ascii="Garamond" w:hAnsi="Garamond"/>
          <w:bCs/>
          <w:iCs/>
          <w:szCs w:val="24"/>
        </w:rPr>
        <w:t>releasing a new high end GTX Titan (NVIDIA’s most high end GPU unit) later this year</w:t>
      </w:r>
      <w:r w:rsidR="00CA6C4E">
        <w:rPr>
          <w:rFonts w:ascii="Garamond" w:hAnsi="Garamond"/>
          <w:bCs/>
          <w:iCs/>
          <w:szCs w:val="24"/>
        </w:rPr>
        <w:t>. The new CPU is expected to increase the company’s sales significantly and should have a positive impact on its share price and dividend policy.</w:t>
      </w:r>
    </w:p>
    <w:p w14:paraId="63DFA228" w14:textId="77777777" w:rsidR="00CA6C4E" w:rsidRDefault="00CA6C4E" w:rsidP="006619D2">
      <w:pPr>
        <w:pStyle w:val="BodyText"/>
        <w:rPr>
          <w:rFonts w:ascii="Garamond" w:hAnsi="Garamond"/>
          <w:bCs/>
          <w:iCs/>
          <w:szCs w:val="24"/>
        </w:rPr>
      </w:pPr>
    </w:p>
    <w:p w14:paraId="057FCD84" w14:textId="49E2D916" w:rsidR="006619D2" w:rsidRDefault="00CA6C4E" w:rsidP="006619D2">
      <w:pPr>
        <w:pStyle w:val="BodyText"/>
        <w:rPr>
          <w:rFonts w:ascii="Garamond" w:hAnsi="Garamond"/>
          <w:bCs/>
          <w:iCs/>
          <w:szCs w:val="24"/>
        </w:rPr>
      </w:pPr>
      <w:r>
        <w:rPr>
          <w:rFonts w:ascii="Garamond" w:hAnsi="Garamond"/>
          <w:bCs/>
          <w:iCs/>
          <w:szCs w:val="24"/>
        </w:rPr>
        <w:t>I like the exposure to the CPU industry because as</w:t>
      </w:r>
      <w:r w:rsidR="006619D2">
        <w:rPr>
          <w:rFonts w:ascii="Garamond" w:hAnsi="Garamond"/>
          <w:bCs/>
          <w:iCs/>
          <w:szCs w:val="24"/>
        </w:rPr>
        <w:t xml:space="preserve"> companies become more and more reliant </w:t>
      </w:r>
      <w:r w:rsidR="0052746E">
        <w:rPr>
          <w:rFonts w:ascii="Garamond" w:hAnsi="Garamond"/>
          <w:bCs/>
          <w:iCs/>
          <w:szCs w:val="24"/>
        </w:rPr>
        <w:t xml:space="preserve">on software to preform everyday commands and tasks the need for more powerful computing systems will </w:t>
      </w:r>
      <w:r>
        <w:rPr>
          <w:rFonts w:ascii="Garamond" w:hAnsi="Garamond"/>
          <w:bCs/>
          <w:iCs/>
          <w:szCs w:val="24"/>
        </w:rPr>
        <w:t>continue. NVIDIA’s technology should keep them at the forefront of the CPU industry, unless a disruptive technology enters the market. At the moment the technology industry is heavily reliant on current CPU technology so I don’t see the disruptive threat to be within my investment timeframe.</w:t>
      </w:r>
    </w:p>
    <w:p w14:paraId="51AE1F72" w14:textId="77777777" w:rsidR="004721EA" w:rsidRDefault="004721EA" w:rsidP="006619D2">
      <w:pPr>
        <w:pStyle w:val="BodyText"/>
        <w:rPr>
          <w:rFonts w:ascii="Garamond" w:hAnsi="Garamond"/>
          <w:bCs/>
          <w:iCs/>
          <w:szCs w:val="24"/>
        </w:rPr>
      </w:pPr>
    </w:p>
    <w:p w14:paraId="178D5061" w14:textId="77777777" w:rsidR="00BF6AD5" w:rsidRPr="00BF6AD5" w:rsidRDefault="00BF6AD5" w:rsidP="00BF6AD5">
      <w:pPr>
        <w:rPr>
          <w:rFonts w:ascii="Garamond" w:eastAsia="Times New Roman" w:hAnsi="Garamond" w:cs="Times New Roman"/>
        </w:rPr>
      </w:pPr>
      <w:r w:rsidRPr="00BF6AD5">
        <w:rPr>
          <w:rFonts w:ascii="Garamond" w:eastAsia="Times New Roman" w:hAnsi="Garamond" w:cs="Arial"/>
          <w:b/>
          <w:bCs/>
          <w:color w:val="333333"/>
          <w:shd w:val="clear" w:color="auto" w:fill="FFFFFF"/>
        </w:rPr>
        <w:t>Global Construction Services Limited</w:t>
      </w:r>
    </w:p>
    <w:p w14:paraId="1FF94690" w14:textId="77777777" w:rsidR="004721EA" w:rsidRDefault="004721EA" w:rsidP="006619D2">
      <w:pPr>
        <w:pStyle w:val="BodyText"/>
        <w:rPr>
          <w:rFonts w:ascii="Garamond" w:hAnsi="Garamond"/>
          <w:bCs/>
          <w:iCs/>
          <w:szCs w:val="24"/>
        </w:rPr>
      </w:pPr>
    </w:p>
    <w:p w14:paraId="23514E97" w14:textId="3860FFFE" w:rsidR="00BF6AD5" w:rsidRDefault="00BF6AD5" w:rsidP="006619D2">
      <w:pPr>
        <w:pStyle w:val="BodyText"/>
        <w:rPr>
          <w:rFonts w:ascii="Garamond" w:hAnsi="Garamond"/>
          <w:bCs/>
          <w:iCs/>
          <w:szCs w:val="24"/>
        </w:rPr>
      </w:pPr>
      <w:r>
        <w:rPr>
          <w:rFonts w:ascii="Garamond" w:hAnsi="Garamond"/>
          <w:bCs/>
          <w:iCs/>
          <w:szCs w:val="24"/>
        </w:rPr>
        <w:t>Global Construction Services Limited (GCS) is a cons</w:t>
      </w:r>
      <w:r w:rsidR="00CA6C4E">
        <w:rPr>
          <w:rFonts w:ascii="Garamond" w:hAnsi="Garamond"/>
          <w:bCs/>
          <w:iCs/>
          <w:szCs w:val="24"/>
        </w:rPr>
        <w:t>truction company based in Perth specialising is formwork, laying of concrete structures.</w:t>
      </w:r>
    </w:p>
    <w:p w14:paraId="0E6CB82E" w14:textId="77777777" w:rsidR="00BF6AD5" w:rsidRDefault="00BF6AD5" w:rsidP="006619D2">
      <w:pPr>
        <w:pStyle w:val="BodyText"/>
        <w:rPr>
          <w:rFonts w:ascii="Garamond" w:hAnsi="Garamond"/>
          <w:bCs/>
          <w:iCs/>
          <w:szCs w:val="24"/>
        </w:rPr>
      </w:pPr>
    </w:p>
    <w:p w14:paraId="1FDD8A5C" w14:textId="77777777" w:rsidR="000E22A5" w:rsidRDefault="00BF6AD5" w:rsidP="006619D2">
      <w:pPr>
        <w:pStyle w:val="BodyText"/>
        <w:rPr>
          <w:rFonts w:ascii="Garamond" w:hAnsi="Garamond"/>
          <w:bCs/>
          <w:iCs/>
          <w:szCs w:val="24"/>
        </w:rPr>
      </w:pPr>
      <w:r>
        <w:rPr>
          <w:rFonts w:ascii="Garamond" w:hAnsi="Garamond"/>
          <w:bCs/>
          <w:iCs/>
          <w:szCs w:val="24"/>
        </w:rPr>
        <w:t xml:space="preserve">Brookfield recently acquired 15% of GCS and have </w:t>
      </w:r>
      <w:r w:rsidR="00CA6C4E">
        <w:rPr>
          <w:rFonts w:ascii="Garamond" w:hAnsi="Garamond"/>
          <w:bCs/>
          <w:iCs/>
          <w:szCs w:val="24"/>
        </w:rPr>
        <w:t xml:space="preserve">assisted them in </w:t>
      </w:r>
      <w:r>
        <w:rPr>
          <w:rFonts w:ascii="Garamond" w:hAnsi="Garamond"/>
          <w:bCs/>
          <w:iCs/>
          <w:szCs w:val="24"/>
        </w:rPr>
        <w:t xml:space="preserve">acquire the </w:t>
      </w:r>
      <w:r w:rsidR="000E22A5">
        <w:rPr>
          <w:rFonts w:ascii="Garamond" w:hAnsi="Garamond"/>
          <w:bCs/>
          <w:iCs/>
          <w:szCs w:val="24"/>
        </w:rPr>
        <w:t xml:space="preserve">similar formwork business on the </w:t>
      </w:r>
      <w:r>
        <w:rPr>
          <w:rFonts w:ascii="Garamond" w:hAnsi="Garamond"/>
          <w:bCs/>
          <w:iCs/>
          <w:szCs w:val="24"/>
        </w:rPr>
        <w:t xml:space="preserve">east side of Australia to take advantage of the </w:t>
      </w:r>
      <w:r w:rsidR="000E22A5">
        <w:rPr>
          <w:rFonts w:ascii="Garamond" w:hAnsi="Garamond"/>
          <w:bCs/>
          <w:iCs/>
          <w:szCs w:val="24"/>
        </w:rPr>
        <w:t>increased construction activity in those markets.</w:t>
      </w:r>
      <w:r>
        <w:rPr>
          <w:rFonts w:ascii="Garamond" w:hAnsi="Garamond"/>
          <w:bCs/>
          <w:iCs/>
          <w:szCs w:val="24"/>
        </w:rPr>
        <w:t xml:space="preserve"> </w:t>
      </w:r>
      <w:r w:rsidR="000E22A5">
        <w:rPr>
          <w:rFonts w:ascii="Garamond" w:hAnsi="Garamond"/>
          <w:bCs/>
          <w:iCs/>
          <w:szCs w:val="24"/>
        </w:rPr>
        <w:t xml:space="preserve">Brookfields also owns Multiplex, a major Australian construction company that performs the major projects on the east coast. The theory is that Multiplex will award the formwork subcontracts to GCS instead of the other non-aligned formwork companies. </w:t>
      </w:r>
    </w:p>
    <w:p w14:paraId="75778706" w14:textId="77777777" w:rsidR="000E22A5" w:rsidRDefault="000E22A5" w:rsidP="006619D2">
      <w:pPr>
        <w:pStyle w:val="BodyText"/>
        <w:rPr>
          <w:rFonts w:ascii="Garamond" w:hAnsi="Garamond"/>
          <w:bCs/>
          <w:iCs/>
          <w:szCs w:val="24"/>
        </w:rPr>
      </w:pPr>
    </w:p>
    <w:p w14:paraId="0583F309" w14:textId="56ADD4E8" w:rsidR="000E22A5" w:rsidRDefault="000E22A5" w:rsidP="006619D2">
      <w:pPr>
        <w:pStyle w:val="BodyText"/>
        <w:rPr>
          <w:rFonts w:ascii="Garamond" w:hAnsi="Garamond"/>
          <w:bCs/>
          <w:iCs/>
          <w:szCs w:val="24"/>
        </w:rPr>
      </w:pPr>
      <w:r>
        <w:rPr>
          <w:rFonts w:ascii="Garamond" w:hAnsi="Garamond"/>
          <w:bCs/>
          <w:iCs/>
          <w:szCs w:val="24"/>
        </w:rPr>
        <w:t>This will expand GCS’s markets for a product they are already very good at and should increase its sales, profits and dividends (and therefore its share price).</w:t>
      </w:r>
    </w:p>
    <w:p w14:paraId="6D17E311" w14:textId="77777777" w:rsidR="000E22A5" w:rsidRDefault="000E22A5" w:rsidP="006619D2">
      <w:pPr>
        <w:pStyle w:val="BodyText"/>
        <w:rPr>
          <w:rFonts w:ascii="Garamond" w:hAnsi="Garamond"/>
          <w:bCs/>
          <w:iCs/>
          <w:szCs w:val="24"/>
        </w:rPr>
      </w:pPr>
    </w:p>
    <w:p w14:paraId="486EFF2F" w14:textId="77777777" w:rsidR="000E22A5" w:rsidRDefault="000E22A5" w:rsidP="006619D2">
      <w:pPr>
        <w:pStyle w:val="BodyText"/>
        <w:rPr>
          <w:rFonts w:ascii="Garamond" w:hAnsi="Garamond"/>
          <w:bCs/>
          <w:iCs/>
          <w:szCs w:val="24"/>
        </w:rPr>
      </w:pPr>
    </w:p>
    <w:p w14:paraId="21E046DE" w14:textId="77777777" w:rsidR="004C72E1" w:rsidRDefault="004C72E1" w:rsidP="000E22A5">
      <w:pPr>
        <w:pStyle w:val="BodyText"/>
        <w:rPr>
          <w:rFonts w:ascii="Garamond" w:hAnsi="Garamond"/>
          <w:bCs/>
          <w:iCs/>
          <w:szCs w:val="24"/>
        </w:rPr>
      </w:pPr>
    </w:p>
    <w:p w14:paraId="65CDAF88" w14:textId="77777777" w:rsidR="000E22A5" w:rsidRDefault="000E22A5" w:rsidP="000E22A5">
      <w:pPr>
        <w:pStyle w:val="BodyText"/>
        <w:rPr>
          <w:rFonts w:ascii="Garamond" w:hAnsi="Garamond"/>
          <w:bCs/>
          <w:i/>
          <w:szCs w:val="24"/>
        </w:rPr>
      </w:pPr>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1. </w:t>
      </w:r>
      <w:r w:rsidRPr="00541552">
        <w:rPr>
          <w:rFonts w:ascii="Garamond" w:hAnsi="Garamond" w:cs="Times"/>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2. </w:t>
      </w:r>
      <w:r w:rsidRPr="00541552">
        <w:rPr>
          <w:rFonts w:ascii="Garamond" w:hAnsi="Garamond" w:cs="Times"/>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3. </w:t>
      </w:r>
      <w:r w:rsidRPr="00541552">
        <w:rPr>
          <w:rFonts w:ascii="Garamond" w:hAnsi="Garamond" w:cs="Times"/>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4. </w:t>
      </w:r>
      <w:r w:rsidRPr="00541552">
        <w:rPr>
          <w:rFonts w:ascii="Garamond" w:hAnsi="Garamond" w:cs="Times"/>
        </w:rPr>
        <w:t xml:space="preserve">Describe the performance of this company’s share price compared to the All Ordinaries Index over the last </w:t>
      </w:r>
      <w:r w:rsidRPr="00541552">
        <w:rPr>
          <w:rFonts w:ascii="Garamond" w:hAnsi="Garamond" w:cs="Times"/>
        </w:rPr>
        <w:lastRenderedPageBreak/>
        <w:t xml:space="preserve">six months. </w:t>
      </w:r>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rPr>
        <w:t>5</w:t>
      </w:r>
      <w:r w:rsidRPr="00541552">
        <w:rPr>
          <w:rFonts w:ascii="Garamond" w:hAnsi="Garamond" w:cs="Times"/>
          <w:b/>
          <w:bCs/>
        </w:rPr>
        <w:t xml:space="preserve">. </w:t>
      </w:r>
      <w:r w:rsidRPr="00541552">
        <w:rPr>
          <w:rFonts w:ascii="Garamond" w:hAnsi="Garamond" w:cs="Times"/>
        </w:rPr>
        <w:t xml:space="preserve">What market sector does your company belong to? Look for the </w:t>
      </w:r>
      <w:r w:rsidRPr="00541552">
        <w:rPr>
          <w:rFonts w:ascii="Garamond" w:hAnsi="Garamond" w:cs="Arial"/>
          <w:b/>
          <w:bCs/>
          <w:shd w:val="clear" w:color="auto" w:fill="FFFFFF"/>
        </w:rPr>
        <w:t>Global Industry Classification Standard</w:t>
      </w:r>
      <w:r w:rsidRPr="00541552">
        <w:rPr>
          <w:rFonts w:ascii="Garamond" w:hAnsi="Garamond"/>
        </w:rPr>
        <w:t xml:space="preserve"> (</w:t>
      </w:r>
      <w:r w:rsidRPr="00541552">
        <w:rPr>
          <w:rFonts w:ascii="Garamond" w:hAnsi="Garamond" w:cs="Times"/>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rPr>
      </w:pPr>
      <w:r w:rsidRPr="00541552">
        <w:rPr>
          <w:rFonts w:ascii="Garamond" w:hAnsi="Garamond" w:cs="Times"/>
          <w:b/>
          <w:bCs/>
        </w:rPr>
        <w:t xml:space="preserve">6. </w:t>
      </w:r>
      <w:r w:rsidRPr="00541552">
        <w:rPr>
          <w:rFonts w:ascii="Garamond" w:hAnsi="Garamond" w:cs="Times"/>
        </w:rPr>
        <w:t>Now that you know the sector your company belon</w:t>
      </w:r>
      <w:r w:rsidR="00A729B9">
        <w:rPr>
          <w:rFonts w:ascii="Garamond" w:hAnsi="Garamond" w:cs="Times"/>
        </w:rPr>
        <w:t xml:space="preserve">gs to, write a brief paragraph </w:t>
      </w:r>
      <w:r w:rsidRPr="00541552">
        <w:rPr>
          <w:rFonts w:ascii="Garamond" w:hAnsi="Garamond" w:cs="Times"/>
        </w:rPr>
        <w:t xml:space="preserve">(100 words )about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09404F8C" w:rsidR="00C05D56" w:rsidRDefault="00A729B9" w:rsidP="00541552">
      <w:pPr>
        <w:widowControl w:val="0"/>
        <w:autoSpaceDE w:val="0"/>
        <w:autoSpaceDN w:val="0"/>
        <w:adjustRightInd w:val="0"/>
        <w:spacing w:after="240"/>
        <w:rPr>
          <w:rFonts w:ascii="Garamond" w:hAnsi="Garamond" w:cs="Times"/>
        </w:rPr>
      </w:pPr>
      <w:r>
        <w:rPr>
          <w:rFonts w:ascii="Garamond" w:hAnsi="Garamond" w:cs="Times"/>
          <w:b/>
        </w:rPr>
        <w:t>Investigation Organiser</w:t>
      </w:r>
      <w:r w:rsidR="00095E8F">
        <w:rPr>
          <w:rFonts w:ascii="Garamond" w:hAnsi="Garamond" w:cs="Times"/>
          <w:b/>
        </w:rPr>
        <w:br/>
      </w:r>
      <w:r>
        <w:rPr>
          <w:rFonts w:ascii="Garamond" w:hAnsi="Garamond" w:cs="Times"/>
        </w:rPr>
        <w:t xml:space="preserve">Throughout your investigation, you will need to complete the attached investigation organiser to help you guide with your </w:t>
      </w:r>
      <w:r w:rsidR="00095E8F">
        <w:rPr>
          <w:rFonts w:ascii="Garamond" w:hAnsi="Garamond" w:cs="Times"/>
        </w:rPr>
        <w:t>research in both Parts One</w:t>
      </w:r>
      <w:r>
        <w:rPr>
          <w:rFonts w:ascii="Garamond" w:hAnsi="Garamond" w:cs="Times"/>
        </w:rPr>
        <w:t xml:space="preserve"> and </w:t>
      </w:r>
      <w:r w:rsidR="00095E8F">
        <w:rPr>
          <w:rFonts w:ascii="Garamond" w:hAnsi="Garamond" w:cs="Times"/>
        </w:rPr>
        <w:t>Two</w:t>
      </w:r>
      <w:r>
        <w:rPr>
          <w:rFonts w:ascii="Garamond" w:hAnsi="Garamond" w:cs="Times"/>
        </w:rPr>
        <w:t>.</w:t>
      </w:r>
      <w:r w:rsidR="00095E8F">
        <w:rPr>
          <w:rFonts w:ascii="Garamond" w:hAnsi="Garamond" w:cs="Times"/>
        </w:rPr>
        <w:t xml:space="preserve"> This will determine your grade for Criterion B (Investigating).</w:t>
      </w:r>
    </w:p>
    <w:p w14:paraId="03386888" w14:textId="77777777" w:rsidR="00C05D56" w:rsidRDefault="00C05D56">
      <w:pPr>
        <w:spacing w:after="200" w:line="276" w:lineRule="auto"/>
        <w:rPr>
          <w:rFonts w:ascii="Garamond" w:hAnsi="Garamond" w:cs="Times"/>
        </w:rPr>
      </w:pPr>
      <w:r>
        <w:rPr>
          <w:rFonts w:ascii="Garamond" w:hAnsi="Garamond" w:cs="Times"/>
        </w:rPr>
        <w:br w:type="page"/>
      </w:r>
    </w:p>
    <w:p w14:paraId="51B879C3" w14:textId="607AB8F4" w:rsidR="00D853FD" w:rsidRPr="00B15635" w:rsidRDefault="00C05D56" w:rsidP="00850774">
      <w:pPr>
        <w:rPr>
          <w:rFonts w:eastAsia="Times New Roman" w:cs="Times New Roman"/>
          <w:b/>
          <w:sz w:val="32"/>
          <w:szCs w:val="32"/>
        </w:rPr>
      </w:pPr>
      <w:r w:rsidRPr="00B15635">
        <w:rPr>
          <w:rFonts w:ascii="Garamond" w:hAnsi="Garamond" w:cs="Times"/>
          <w:b/>
          <w:sz w:val="32"/>
          <w:szCs w:val="32"/>
        </w:rPr>
        <w:lastRenderedPageBreak/>
        <w:t>NVIDIA Corporation</w:t>
      </w:r>
      <w:r w:rsidR="00761FB8" w:rsidRPr="00B15635">
        <w:rPr>
          <w:rFonts w:ascii="Garamond" w:hAnsi="Garamond" w:cs="Times"/>
          <w:b/>
          <w:sz w:val="32"/>
          <w:szCs w:val="32"/>
        </w:rPr>
        <w:t xml:space="preserve"> </w:t>
      </w:r>
      <w:r w:rsidR="0064419E" w:rsidRPr="00B15635">
        <w:rPr>
          <w:rFonts w:ascii="Garamond" w:hAnsi="Garamond" w:cs="Times"/>
          <w:b/>
          <w:sz w:val="32"/>
          <w:szCs w:val="32"/>
        </w:rPr>
        <w:t>( NASDAQ:NVDA</w:t>
      </w:r>
      <w:r w:rsidR="00850774" w:rsidRPr="00B15635">
        <w:rPr>
          <w:rFonts w:ascii="Garamond" w:hAnsi="Garamond" w:cs="Times"/>
          <w:b/>
          <w:sz w:val="32"/>
          <w:szCs w:val="32"/>
        </w:rPr>
        <w:t>) Stock Analysis</w:t>
      </w:r>
    </w:p>
    <w:p w14:paraId="05D3EB59" w14:textId="22704994" w:rsidR="004858A3" w:rsidRPr="000146F8" w:rsidRDefault="00D853FD" w:rsidP="001B68A4">
      <w:pPr>
        <w:spacing w:before="240" w:after="240"/>
        <w:rPr>
          <w:rFonts w:ascii="Helvetica" w:eastAsia="Times New Roman" w:hAnsi="Helvetica" w:cs="Times New Roman"/>
          <w:color w:val="000000"/>
          <w:sz w:val="21"/>
          <w:szCs w:val="21"/>
        </w:rPr>
      </w:pPr>
      <w:r>
        <w:rPr>
          <w:rFonts w:eastAsia="Times New Roman" w:cs="Times New Roman"/>
        </w:rPr>
        <w:t>NVIDIA corporation is a business that designs and manufactures graphics processing units (GPU) for gaming and professional uses.</w:t>
      </w:r>
      <w:r w:rsidR="004F38EC">
        <w:rPr>
          <w:rFonts w:eastAsia="Times New Roman" w:cs="Times New Roman"/>
        </w:rPr>
        <w:t xml:space="preserve"> A GPU is a extension of a computer that </w:t>
      </w:r>
      <w:r w:rsidR="004858A3">
        <w:rPr>
          <w:rFonts w:eastAsia="Times New Roman" w:cs="Times New Roman"/>
        </w:rPr>
        <w:t>provides the computer with more processing power.</w:t>
      </w:r>
      <w:r w:rsidR="000146F8">
        <w:rPr>
          <w:rFonts w:eastAsia="Times New Roman" w:cs="Times New Roman"/>
        </w:rPr>
        <w:t xml:space="preserve"> NVIDIA Corporation’s primary market sector is Technology H</w:t>
      </w:r>
      <w:r w:rsidR="005F6609">
        <w:rPr>
          <w:rFonts w:eastAsia="Times New Roman" w:cs="Times New Roman"/>
        </w:rPr>
        <w:t>ardware, Storage and Peripheral</w:t>
      </w:r>
      <w:r w:rsidR="000146F8">
        <w:rPr>
          <w:rFonts w:eastAsia="Times New Roman" w:cs="Times New Roman"/>
        </w:rPr>
        <w:t xml:space="preserve"> (45202030).</w:t>
      </w:r>
      <w:r w:rsidR="001B68A4">
        <w:rPr>
          <w:rFonts w:eastAsia="Times New Roman" w:cs="Times New Roman"/>
        </w:rPr>
        <w:t xml:space="preserve"> </w:t>
      </w:r>
    </w:p>
    <w:p w14:paraId="2F35266F" w14:textId="2972DB6C" w:rsidR="007C4FE6" w:rsidRDefault="000146F8" w:rsidP="000146F8">
      <w:pPr>
        <w:rPr>
          <w:rFonts w:eastAsia="Times New Roman" w:cs="Times New Roman"/>
        </w:rPr>
      </w:pPr>
      <w:r>
        <w:rPr>
          <w:rFonts w:eastAsia="Times New Roman" w:cs="Times New Roman"/>
          <w:noProof/>
        </w:rPr>
        <w:drawing>
          <wp:anchor distT="0" distB="0" distL="114300" distR="114300" simplePos="0" relativeHeight="251660288" behindDoc="0" locked="0" layoutInCell="1" allowOverlap="1" wp14:anchorId="21AC593F" wp14:editId="099B080E">
            <wp:simplePos x="0" y="0"/>
            <wp:positionH relativeFrom="column">
              <wp:posOffset>1656080</wp:posOffset>
            </wp:positionH>
            <wp:positionV relativeFrom="paragraph">
              <wp:posOffset>262890</wp:posOffset>
            </wp:positionV>
            <wp:extent cx="5313680" cy="1823085"/>
            <wp:effectExtent l="0" t="0" r="0" b="5715"/>
            <wp:wrapSquare wrapText="bothSides"/>
            <wp:docPr id="1" name="Picture 1"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68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6C78393" wp14:editId="55F2EDE0">
                <wp:simplePos x="0" y="0"/>
                <wp:positionH relativeFrom="column">
                  <wp:posOffset>1789430</wp:posOffset>
                </wp:positionH>
                <wp:positionV relativeFrom="paragraph">
                  <wp:posOffset>2140585</wp:posOffset>
                </wp:positionV>
                <wp:extent cx="5313680" cy="259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3680" cy="259080"/>
                        </a:xfrm>
                        <a:prstGeom prst="rect">
                          <a:avLst/>
                        </a:prstGeom>
                        <a:solidFill>
                          <a:prstClr val="white"/>
                        </a:solidFill>
                        <a:ln>
                          <a:noFill/>
                        </a:ln>
                        <a:effectLst/>
                      </wps:spPr>
                      <wps:txbx>
                        <w:txbxContent>
                          <w:p w14:paraId="7E2D1CDB" w14:textId="46AE79AF" w:rsidR="000146F8" w:rsidRPr="00A559DF" w:rsidRDefault="000146F8" w:rsidP="000146F8">
                            <w:pPr>
                              <w:pStyle w:val="Caption"/>
                              <w:rPr>
                                <w:rFonts w:eastAsia="Times New Roman" w:cs="Times New Roman"/>
                                <w:noProof/>
                              </w:rPr>
                            </w:pPr>
                            <w:r>
                              <w:t xml:space="preserve">Figure </w:t>
                            </w:r>
                            <w:r w:rsidR="005B2E3E">
                              <w:fldChar w:fldCharType="begin"/>
                            </w:r>
                            <w:r w:rsidR="005B2E3E">
                              <w:instrText xml:space="preserve"> SEQ Figure \* ARABIC </w:instrText>
                            </w:r>
                            <w:r w:rsidR="005B2E3E">
                              <w:fldChar w:fldCharType="separate"/>
                            </w:r>
                            <w:r>
                              <w:rPr>
                                <w:noProof/>
                              </w:rPr>
                              <w:t>1</w:t>
                            </w:r>
                            <w:r w:rsidR="005B2E3E">
                              <w:rPr>
                                <w:noProof/>
                              </w:rPr>
                              <w:fldChar w:fldCharType="end"/>
                            </w:r>
                            <w:r>
                              <w:rPr>
                                <w:noProof/>
                              </w:rPr>
                              <w:t xml:space="preserve"> NVIDIA Corporation's stock price over the past 6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78393" id="_x0000_t202" coordsize="21600,21600" o:spt="202" path="m0,0l0,21600,21600,21600,21600,0xe">
                <v:stroke joinstyle="miter"/>
                <v:path gradientshapeok="t" o:connecttype="rect"/>
              </v:shapetype>
              <v:shape id="Text Box 2" o:spid="_x0000_s1026" type="#_x0000_t202" style="position:absolute;margin-left:140.9pt;margin-top:168.55pt;width:418.4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" stroked="f">
                <v:textbox style="mso-fit-shape-to-text:t" inset="0,0,0,0">
                  <w:txbxContent>
                    <w:p w14:paraId="7E2D1CDB" w14:textId="46AE79AF" w:rsidR="000146F8" w:rsidRPr="00A559DF" w:rsidRDefault="000146F8" w:rsidP="000146F8">
                      <w:pPr>
                        <w:pStyle w:val="Caption"/>
                        <w:rPr>
                          <w:rFonts w:eastAsia="Times New Roman" w:cs="Times New Roman"/>
                          <w:noProof/>
                        </w:rPr>
                      </w:pPr>
                      <w:r>
                        <w:t xml:space="preserve">Figure </w:t>
                      </w:r>
                      <w:r w:rsidR="005B2E3E">
                        <w:fldChar w:fldCharType="begin"/>
                      </w:r>
                      <w:r w:rsidR="005B2E3E">
                        <w:instrText xml:space="preserve"> SEQ Figure \* ARABIC </w:instrText>
                      </w:r>
                      <w:r w:rsidR="005B2E3E">
                        <w:fldChar w:fldCharType="separate"/>
                      </w:r>
                      <w:r>
                        <w:rPr>
                          <w:noProof/>
                        </w:rPr>
                        <w:t>1</w:t>
                      </w:r>
                      <w:r w:rsidR="005B2E3E">
                        <w:rPr>
                          <w:noProof/>
                        </w:rPr>
                        <w:fldChar w:fldCharType="end"/>
                      </w:r>
                      <w:r>
                        <w:rPr>
                          <w:noProof/>
                        </w:rPr>
                        <w:t xml:space="preserve"> NVIDIA Corporation's stock price over the past 6 months</w:t>
                      </w:r>
                    </w:p>
                  </w:txbxContent>
                </v:textbox>
                <w10:wrap type="square"/>
              </v:shape>
            </w:pict>
          </mc:Fallback>
        </mc:AlternateContent>
      </w:r>
      <w:r w:rsidR="007C4FE6">
        <w:rPr>
          <w:rFonts w:eastAsia="Times New Roman" w:cs="Times New Roman"/>
        </w:rPr>
        <w:t>NVIDIA was first listed on the NASDAQ stock exchange on the 22</w:t>
      </w:r>
      <w:r w:rsidR="007C4FE6" w:rsidRPr="007C4FE6">
        <w:rPr>
          <w:rFonts w:eastAsia="Times New Roman" w:cs="Times New Roman"/>
          <w:vertAlign w:val="superscript"/>
        </w:rPr>
        <w:t>nd</w:t>
      </w:r>
      <w:r w:rsidR="007C4FE6">
        <w:rPr>
          <w:rFonts w:eastAsia="Times New Roman" w:cs="Times New Roman"/>
        </w:rPr>
        <w:t xml:space="preserve"> of January, 1999 and had a price on $1.64 (USD).</w:t>
      </w:r>
    </w:p>
    <w:p w14:paraId="365884E5" w14:textId="77777777" w:rsidR="000146F8" w:rsidRDefault="000146F8" w:rsidP="000146F8">
      <w:pPr>
        <w:rPr>
          <w:rFonts w:eastAsia="Times New Roman" w:cs="Times New Roman"/>
        </w:rPr>
      </w:pPr>
    </w:p>
    <w:p w14:paraId="4A207003" w14:textId="77777777" w:rsidR="001B68A4" w:rsidRDefault="000153D3" w:rsidP="001B68A4">
      <w:pPr>
        <w:rPr>
          <w:rFonts w:eastAsia="Times New Roman" w:cs="Times New Roman"/>
        </w:rPr>
      </w:pPr>
      <w:r>
        <w:rPr>
          <w:rFonts w:eastAsia="Times New Roman" w:cs="Times New Roman"/>
        </w:rPr>
        <w:t>From the beginning of the past 6 months on the 28</w:t>
      </w:r>
      <w:r w:rsidRPr="000153D3">
        <w:rPr>
          <w:rFonts w:eastAsia="Times New Roman" w:cs="Times New Roman"/>
          <w:vertAlign w:val="superscript"/>
        </w:rPr>
        <w:t>th</w:t>
      </w:r>
      <w:r>
        <w:rPr>
          <w:rFonts w:eastAsia="Times New Roman" w:cs="Times New Roman"/>
        </w:rPr>
        <w:t xml:space="preserve"> of November, 2016 till the </w:t>
      </w:r>
      <w:r w:rsidR="007460D8">
        <w:rPr>
          <w:rFonts w:eastAsia="Times New Roman" w:cs="Times New Roman"/>
        </w:rPr>
        <w:t>9</w:t>
      </w:r>
      <w:r w:rsidR="007460D8" w:rsidRPr="007460D8">
        <w:rPr>
          <w:rFonts w:eastAsia="Times New Roman" w:cs="Times New Roman"/>
          <w:vertAlign w:val="superscript"/>
        </w:rPr>
        <w:t>th</w:t>
      </w:r>
      <w:r w:rsidR="007460D8">
        <w:rPr>
          <w:rFonts w:eastAsia="Times New Roman" w:cs="Times New Roman"/>
        </w:rPr>
        <w:t xml:space="preserve"> of May, 2017 NVIDIA’s stock price remained mostly static around the price of $109.45 with minor fluctuations in the price over the time period. </w:t>
      </w:r>
      <w:r w:rsidR="000146F8">
        <w:rPr>
          <w:rFonts w:eastAsia="Times New Roman" w:cs="Times New Roman"/>
        </w:rPr>
        <w:t xml:space="preserve">(Figure 1) </w:t>
      </w:r>
      <w:r w:rsidR="007460D8">
        <w:rPr>
          <w:rFonts w:eastAsia="Times New Roman" w:cs="Times New Roman"/>
        </w:rPr>
        <w:t xml:space="preserve">On the </w:t>
      </w:r>
      <w:r w:rsidR="008F2EB0">
        <w:rPr>
          <w:rFonts w:eastAsia="Times New Roman" w:cs="Times New Roman"/>
        </w:rPr>
        <w:t>10</w:t>
      </w:r>
      <w:r w:rsidR="008F2EB0" w:rsidRPr="008F2EB0">
        <w:rPr>
          <w:rFonts w:eastAsia="Times New Roman" w:cs="Times New Roman"/>
          <w:vertAlign w:val="superscript"/>
        </w:rPr>
        <w:t>th</w:t>
      </w:r>
      <w:r w:rsidR="008F2EB0">
        <w:rPr>
          <w:rFonts w:eastAsia="Times New Roman" w:cs="Times New Roman"/>
        </w:rPr>
        <w:t xml:space="preserve"> of May, 2017 NVIDIA Corporation reported </w:t>
      </w:r>
      <w:r w:rsidR="000146F8">
        <w:rPr>
          <w:rFonts w:eastAsia="Times New Roman" w:cs="Times New Roman"/>
        </w:rPr>
        <w:t>a stellar result</w:t>
      </w:r>
      <w:r w:rsidR="008F2EB0">
        <w:rPr>
          <w:rFonts w:eastAsia="Times New Roman" w:cs="Times New Roman"/>
        </w:rPr>
        <w:t xml:space="preserve"> for the fiscal 2018</w:t>
      </w:r>
      <w:r w:rsidR="007C67F9">
        <w:rPr>
          <w:rFonts w:eastAsia="Times New Roman" w:cs="Times New Roman"/>
        </w:rPr>
        <w:t xml:space="preserve"> Q1</w:t>
      </w:r>
      <w:r w:rsidR="00D44E4F">
        <w:rPr>
          <w:rFonts w:eastAsia="Times New Roman" w:cs="Times New Roman"/>
        </w:rPr>
        <w:t xml:space="preserve"> and a driverless car deal with Toyota. The stock price increased from $102.94 to $121.29 the company then settled around $137.03.</w:t>
      </w:r>
    </w:p>
    <w:p w14:paraId="1C4D20F7" w14:textId="77777777" w:rsidR="001B68A4" w:rsidRDefault="001B68A4" w:rsidP="001B68A4">
      <w:pPr>
        <w:rPr>
          <w:rFonts w:eastAsia="Times New Roman" w:cs="Times New Roman"/>
        </w:rPr>
      </w:pPr>
    </w:p>
    <w:p w14:paraId="5A892A77" w14:textId="097B59EC" w:rsidR="001B68A4" w:rsidRDefault="00850774" w:rsidP="001B68A4">
      <w:pPr>
        <w:rPr>
          <w:rFonts w:eastAsia="Times New Roman" w:cs="Times New Roman"/>
        </w:rPr>
      </w:pPr>
      <w:r>
        <w:rPr>
          <w:rFonts w:ascii="Arial Narrow" w:hAnsi="Arial Narrow"/>
          <w:b/>
          <w:noProof/>
          <w:sz w:val="32"/>
          <w:szCs w:val="32"/>
        </w:rPr>
        <w:drawing>
          <wp:anchor distT="0" distB="0" distL="114300" distR="114300" simplePos="0" relativeHeight="251663360" behindDoc="0" locked="0" layoutInCell="1" allowOverlap="1" wp14:anchorId="5ACE2ED5" wp14:editId="47AE5608">
            <wp:simplePos x="0" y="0"/>
            <wp:positionH relativeFrom="column">
              <wp:posOffset>3025775</wp:posOffset>
            </wp:positionH>
            <wp:positionV relativeFrom="paragraph">
              <wp:posOffset>59690</wp:posOffset>
            </wp:positionV>
            <wp:extent cx="3540125" cy="1898015"/>
            <wp:effectExtent l="0" t="0" r="0" b="6985"/>
            <wp:wrapSquare wrapText="bothSides"/>
            <wp:docPr id="3" name="Picture 3"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125"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8A4">
        <w:rPr>
          <w:rFonts w:eastAsia="Times New Roman" w:cs="Times New Roman"/>
        </w:rPr>
        <w:t xml:space="preserve"> </w:t>
      </w:r>
    </w:p>
    <w:p w14:paraId="105BD26D" w14:textId="01F2152E" w:rsidR="00D44E4F" w:rsidRDefault="001B68A4" w:rsidP="00850774">
      <w:pPr>
        <w:rPr>
          <w:rFonts w:eastAsia="Times New Roman" w:cs="Times New Roman"/>
        </w:rPr>
      </w:pPr>
      <w:r>
        <w:rPr>
          <w:rFonts w:eastAsia="Times New Roman" w:cs="Times New Roman"/>
        </w:rPr>
        <w:t xml:space="preserve">The sector that NVIDIA Corporation belongs to (Technology Hardware, Storage and Peripheral, </w:t>
      </w:r>
      <w:r w:rsidR="00F01D7D">
        <w:rPr>
          <w:rFonts w:eastAsia="Times New Roman" w:cs="Times New Roman"/>
        </w:rPr>
        <w:t>45202030) Has been on the stead</w:t>
      </w:r>
      <w:r>
        <w:rPr>
          <w:rFonts w:eastAsia="Times New Roman" w:cs="Times New Roman"/>
        </w:rPr>
        <w:t xml:space="preserve"> rise over the past 12 months. The starting price was roughly $120 and has ended at roughly $180. This could be due to the </w:t>
      </w:r>
      <w:r w:rsidR="000C6AD7">
        <w:rPr>
          <w:rFonts w:eastAsia="Times New Roman" w:cs="Times New Roman"/>
        </w:rPr>
        <w:t xml:space="preserve">increasing </w:t>
      </w:r>
      <w:r w:rsidR="00850774">
        <w:rPr>
          <w:rFonts w:eastAsia="Times New Roman" w:cs="Times New Roman"/>
        </w:rPr>
        <w:t xml:space="preserve">reliance of technological systems and the need for more powerful computer systems because of the increasing use of these systems. </w:t>
      </w:r>
    </w:p>
    <w:p w14:paraId="15614293" w14:textId="54ED2377" w:rsidR="00D44E4F" w:rsidRPr="00D853FD" w:rsidRDefault="00D44E4F" w:rsidP="00D44E4F">
      <w:pPr>
        <w:rPr>
          <w:rFonts w:eastAsia="Times New Roman" w:cs="Times New Roman"/>
        </w:rPr>
      </w:pPr>
    </w:p>
    <w:p w14:paraId="06278FF0" w14:textId="28766B04" w:rsidR="00541552" w:rsidRDefault="00850774" w:rsidP="00541552">
      <w:pPr>
        <w:jc w:val="center"/>
        <w:rPr>
          <w:rFonts w:ascii="Arial Narrow" w:hAnsi="Arial Narrow"/>
          <w:b/>
          <w:sz w:val="32"/>
          <w:szCs w:val="32"/>
        </w:rPr>
      </w:pPr>
      <w:r>
        <w:rPr>
          <w:noProof/>
        </w:rPr>
        <mc:AlternateContent>
          <mc:Choice Requires="wps">
            <w:drawing>
              <wp:anchor distT="0" distB="0" distL="114300" distR="114300" simplePos="0" relativeHeight="251665408" behindDoc="0" locked="0" layoutInCell="1" allowOverlap="1" wp14:anchorId="572AC41B" wp14:editId="720F4EB2">
                <wp:simplePos x="0" y="0"/>
                <wp:positionH relativeFrom="column">
                  <wp:posOffset>3018790</wp:posOffset>
                </wp:positionH>
                <wp:positionV relativeFrom="paragraph">
                  <wp:posOffset>10160</wp:posOffset>
                </wp:positionV>
                <wp:extent cx="3547110" cy="341630"/>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547110" cy="341630"/>
                        </a:xfrm>
                        <a:prstGeom prst="rect">
                          <a:avLst/>
                        </a:prstGeom>
                        <a:solidFill>
                          <a:prstClr val="white"/>
                        </a:solidFill>
                        <a:ln>
                          <a:noFill/>
                        </a:ln>
                        <a:effectLst/>
                      </wps:spPr>
                      <wps:txbx>
                        <w:txbxContent>
                          <w:p w14:paraId="72A518D0" w14:textId="3FB3E0F2" w:rsidR="00850774" w:rsidRPr="00C6049B" w:rsidRDefault="00850774" w:rsidP="00850774">
                            <w:pPr>
                              <w:pStyle w:val="Caption"/>
                              <w:rPr>
                                <w:rFonts w:ascii="Arial Narrow" w:hAnsi="Arial Narrow"/>
                                <w:b/>
                                <w:noProof/>
                                <w:sz w:val="32"/>
                                <w:szCs w:val="32"/>
                              </w:rPr>
                            </w:pPr>
                            <w:r>
                              <w:t xml:space="preserve">Figure </w:t>
                            </w:r>
                            <w:r w:rsidR="005B2E3E">
                              <w:fldChar w:fldCharType="begin"/>
                            </w:r>
                            <w:r w:rsidR="005B2E3E">
                              <w:instrText xml:space="preserve"> SEQ Figure \* ARABIC </w:instrText>
                            </w:r>
                            <w:r w:rsidR="005B2E3E">
                              <w:fldChar w:fldCharType="separate"/>
                            </w:r>
                            <w:r>
                              <w:rPr>
                                <w:noProof/>
                              </w:rPr>
                              <w:t>2</w:t>
                            </w:r>
                            <w:r w:rsidR="005B2E3E">
                              <w:rPr>
                                <w:noProof/>
                              </w:rPr>
                              <w:fldChar w:fldCharType="end"/>
                            </w:r>
                            <w:r>
                              <w:t xml:space="preserve"> T</w:t>
                            </w:r>
                            <w:r w:rsidRPr="00D3759D">
                              <w:t>echnology Hardware, Stor</w:t>
                            </w:r>
                            <w:r>
                              <w:t>age and Peripheral (45202030) sector performance over the past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C41B" id="Text Box 5" o:spid="_x0000_s1027" type="#_x0000_t202" style="position:absolute;left:0;text-align:left;margin-left:237.7pt;margin-top:.8pt;width:279.3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" stroked="f">
                <v:textbox inset="0,0,0,0">
                  <w:txbxContent>
                    <w:p w14:paraId="72A518D0" w14:textId="3FB3E0F2" w:rsidR="00850774" w:rsidRPr="00C6049B" w:rsidRDefault="00850774" w:rsidP="00850774">
                      <w:pPr>
                        <w:pStyle w:val="Caption"/>
                        <w:rPr>
                          <w:rFonts w:ascii="Arial Narrow" w:hAnsi="Arial Narrow"/>
                          <w:b/>
                          <w:noProof/>
                          <w:sz w:val="32"/>
                          <w:szCs w:val="32"/>
                        </w:rPr>
                      </w:pPr>
                      <w:r>
                        <w:t xml:space="preserve">Figure </w:t>
                      </w:r>
                      <w:r w:rsidR="005B2E3E">
                        <w:fldChar w:fldCharType="begin"/>
                      </w:r>
                      <w:r w:rsidR="005B2E3E">
                        <w:instrText xml:space="preserve"> SEQ Figure \* ARABIC </w:instrText>
                      </w:r>
                      <w:r w:rsidR="005B2E3E">
                        <w:fldChar w:fldCharType="separate"/>
                      </w:r>
                      <w:r>
                        <w:rPr>
                          <w:noProof/>
                        </w:rPr>
                        <w:t>2</w:t>
                      </w:r>
                      <w:r w:rsidR="005B2E3E">
                        <w:rPr>
                          <w:noProof/>
                        </w:rPr>
                        <w:fldChar w:fldCharType="end"/>
                      </w:r>
                      <w:r>
                        <w:t xml:space="preserve"> T</w:t>
                      </w:r>
                      <w:r w:rsidRPr="00D3759D">
                        <w:t>echnology Hardware, Stor</w:t>
                      </w:r>
                      <w:r>
                        <w:t>age and Peripheral (45202030) sector performance over the past year</w:t>
                      </w:r>
                    </w:p>
                  </w:txbxContent>
                </v:textbox>
                <w10:wrap type="square"/>
              </v:shape>
            </w:pict>
          </mc:Fallback>
        </mc:AlternateContent>
      </w:r>
    </w:p>
    <w:p w14:paraId="36C99233" w14:textId="605CDA20" w:rsidR="00541552" w:rsidRDefault="00541552" w:rsidP="00541552">
      <w:pPr>
        <w:jc w:val="center"/>
        <w:rPr>
          <w:rFonts w:ascii="Arial Narrow" w:hAnsi="Arial Narrow"/>
          <w:b/>
          <w:sz w:val="32"/>
          <w:szCs w:val="32"/>
        </w:rPr>
      </w:pPr>
    </w:p>
    <w:p w14:paraId="6DFA8837" w14:textId="7B7ACF22" w:rsidR="008C1729" w:rsidRDefault="008C1729" w:rsidP="00541552">
      <w:pPr>
        <w:jc w:val="center"/>
        <w:rPr>
          <w:rFonts w:ascii="Arial Narrow" w:hAnsi="Arial Narrow"/>
          <w:b/>
          <w:sz w:val="32"/>
          <w:szCs w:val="32"/>
        </w:rPr>
      </w:pPr>
    </w:p>
    <w:p w14:paraId="3F489014" w14:textId="44407469" w:rsidR="000C758E" w:rsidRDefault="000C758E">
      <w:pPr>
        <w:spacing w:after="200" w:line="276" w:lineRule="auto"/>
        <w:rPr>
          <w:rFonts w:ascii="Arial Narrow" w:hAnsi="Arial Narrow"/>
          <w:b/>
          <w:sz w:val="32"/>
          <w:szCs w:val="32"/>
        </w:rPr>
      </w:pPr>
      <w:r>
        <w:rPr>
          <w:rFonts w:ascii="Arial Narrow" w:hAnsi="Arial Narrow"/>
          <w:b/>
          <w:sz w:val="32"/>
          <w:szCs w:val="32"/>
        </w:rPr>
        <w:br w:type="page"/>
      </w:r>
    </w:p>
    <w:p w14:paraId="77BECBD0" w14:textId="269CA5B1" w:rsidR="00541552" w:rsidRPr="00B15635" w:rsidRDefault="00B15635" w:rsidP="00541552">
      <w:pPr>
        <w:rPr>
          <w:rFonts w:ascii="Times" w:hAnsi="Times"/>
          <w:b/>
          <w:sz w:val="32"/>
          <w:szCs w:val="32"/>
        </w:rPr>
      </w:pPr>
      <w:r w:rsidRPr="00B15635">
        <w:rPr>
          <w:rFonts w:ascii="Times" w:hAnsi="Times"/>
          <w:b/>
          <w:sz w:val="32"/>
          <w:szCs w:val="32"/>
        </w:rPr>
        <w:lastRenderedPageBreak/>
        <w:t>Atlassi</w:t>
      </w:r>
      <w:r w:rsidR="000C758E" w:rsidRPr="00B15635">
        <w:rPr>
          <w:rFonts w:ascii="Times" w:hAnsi="Times"/>
          <w:b/>
          <w:sz w:val="32"/>
          <w:szCs w:val="32"/>
        </w:rPr>
        <w:t>an</w:t>
      </w:r>
      <w:r w:rsidRPr="00B15635">
        <w:rPr>
          <w:rFonts w:ascii="Times" w:hAnsi="Times"/>
          <w:b/>
          <w:sz w:val="32"/>
          <w:szCs w:val="32"/>
        </w:rPr>
        <w:t xml:space="preserve"> Corporation PLC (NASDAQ:TEAM)</w:t>
      </w:r>
      <w:r>
        <w:rPr>
          <w:rFonts w:ascii="Times" w:hAnsi="Times"/>
          <w:b/>
          <w:sz w:val="32"/>
          <w:szCs w:val="32"/>
        </w:rPr>
        <w:t xml:space="preserve"> Stock Analysis</w:t>
      </w:r>
    </w:p>
    <w:p w14:paraId="43958D3E" w14:textId="243A0460" w:rsidR="00B15635" w:rsidRPr="00B15635" w:rsidRDefault="00B15635" w:rsidP="00541552">
      <w:pPr>
        <w:rPr>
          <w:rFonts w:ascii="Times" w:hAnsi="Times"/>
          <w:b/>
        </w:rPr>
      </w:pPr>
    </w:p>
    <w:p w14:paraId="5B5849A8" w14:textId="77F43935" w:rsidR="00B15635" w:rsidRDefault="00B15635" w:rsidP="0031773C">
      <w:pPr>
        <w:rPr>
          <w:rFonts w:ascii="Times" w:hAnsi="Times"/>
          <w:bCs/>
        </w:rPr>
      </w:pPr>
      <w:r w:rsidRPr="00B15635">
        <w:rPr>
          <w:rFonts w:ascii="Times" w:hAnsi="Times"/>
          <w:bCs/>
        </w:rPr>
        <w:t xml:space="preserve">Atlassian Corporation is a software development company that focuses on building programs that </w:t>
      </w:r>
      <w:r>
        <w:rPr>
          <w:rFonts w:ascii="Times" w:hAnsi="Times"/>
          <w:bCs/>
        </w:rPr>
        <w:t>are used by software development team</w:t>
      </w:r>
      <w:r w:rsidR="0042640A">
        <w:rPr>
          <w:rFonts w:ascii="Times" w:hAnsi="Times"/>
          <w:bCs/>
        </w:rPr>
        <w:t>s</w:t>
      </w:r>
      <w:r>
        <w:rPr>
          <w:rFonts w:ascii="Times" w:hAnsi="Times"/>
          <w:bCs/>
        </w:rPr>
        <w:t xml:space="preserve"> to </w:t>
      </w:r>
      <w:r w:rsidR="0042640A">
        <w:rPr>
          <w:rFonts w:ascii="Times" w:hAnsi="Times"/>
          <w:bCs/>
        </w:rPr>
        <w:t xml:space="preserve">efficiently organize large teams of people and assign work for employees and also </w:t>
      </w:r>
      <w:r w:rsidR="0031773C">
        <w:rPr>
          <w:rFonts w:ascii="Times" w:hAnsi="Times"/>
          <w:bCs/>
        </w:rPr>
        <w:t>build software that can be used for programming software</w:t>
      </w:r>
      <w:r w:rsidR="0042640A">
        <w:rPr>
          <w:rFonts w:ascii="Times" w:hAnsi="Times"/>
          <w:bCs/>
        </w:rPr>
        <w:t>.</w:t>
      </w:r>
      <w:r w:rsidR="005F6609">
        <w:rPr>
          <w:rFonts w:ascii="Times" w:hAnsi="Times"/>
          <w:bCs/>
        </w:rPr>
        <w:t xml:space="preserve"> The primary market sector that Atlassian Corporation focuses on is </w:t>
      </w:r>
      <w:r w:rsidR="006539B2">
        <w:rPr>
          <w:rFonts w:ascii="Times" w:hAnsi="Times"/>
          <w:bCs/>
        </w:rPr>
        <w:t xml:space="preserve">application </w:t>
      </w:r>
      <w:r w:rsidR="005F6609">
        <w:rPr>
          <w:rFonts w:ascii="Times" w:hAnsi="Times"/>
          <w:bCs/>
        </w:rPr>
        <w:t>software (451030</w:t>
      </w:r>
      <w:r w:rsidR="006539B2">
        <w:rPr>
          <w:rFonts w:ascii="Times" w:hAnsi="Times"/>
          <w:bCs/>
        </w:rPr>
        <w:t>10</w:t>
      </w:r>
      <w:r w:rsidR="005F6609">
        <w:rPr>
          <w:rFonts w:ascii="Times" w:hAnsi="Times"/>
          <w:bCs/>
        </w:rPr>
        <w:t>).</w:t>
      </w:r>
    </w:p>
    <w:p w14:paraId="48C37633" w14:textId="2489C836" w:rsidR="005F6609" w:rsidRDefault="005F6609" w:rsidP="0031773C">
      <w:pPr>
        <w:rPr>
          <w:rFonts w:ascii="Times" w:hAnsi="Times"/>
          <w:bCs/>
        </w:rPr>
      </w:pPr>
    </w:p>
    <w:p w14:paraId="0D9A6EA7" w14:textId="3D14C5F5" w:rsidR="005F6609" w:rsidRDefault="005F6609" w:rsidP="0031773C">
      <w:pPr>
        <w:rPr>
          <w:rFonts w:ascii="Times" w:hAnsi="Times"/>
          <w:bCs/>
        </w:rPr>
      </w:pPr>
      <w:r>
        <w:rPr>
          <w:rFonts w:ascii="Times" w:hAnsi="Times"/>
          <w:bCs/>
        </w:rPr>
        <w:t>Atlassian Corporation was fist listed on the NASDAQ stock exchang</w:t>
      </w:r>
      <w:r w:rsidR="001C64FB">
        <w:rPr>
          <w:rFonts w:ascii="Times" w:hAnsi="Times"/>
          <w:bCs/>
        </w:rPr>
        <w:t>e</w:t>
      </w:r>
      <w:r>
        <w:rPr>
          <w:rFonts w:ascii="Times" w:hAnsi="Times"/>
          <w:bCs/>
        </w:rPr>
        <w:t xml:space="preserve"> in the 18</w:t>
      </w:r>
      <w:r w:rsidRPr="005F6609">
        <w:rPr>
          <w:rFonts w:ascii="Times" w:hAnsi="Times"/>
          <w:bCs/>
          <w:vertAlign w:val="superscript"/>
        </w:rPr>
        <w:t>th</w:t>
      </w:r>
      <w:r>
        <w:rPr>
          <w:rFonts w:ascii="Times" w:hAnsi="Times"/>
          <w:bCs/>
        </w:rPr>
        <w:t xml:space="preserve"> of December, 2015</w:t>
      </w:r>
      <w:r w:rsidR="001C64FB">
        <w:rPr>
          <w:rFonts w:ascii="Times" w:hAnsi="Times"/>
          <w:bCs/>
        </w:rPr>
        <w:t xml:space="preserve"> and had an initial price of </w:t>
      </w:r>
      <w:r w:rsidR="001C64FB">
        <w:rPr>
          <w:rFonts w:ascii="Times" w:hAnsi="Times"/>
          <w:bCs/>
        </w:rPr>
        <w:tab/>
        <w:t>$27.50 (USD).</w:t>
      </w:r>
    </w:p>
    <w:p w14:paraId="4FF89F6D" w14:textId="578C94FE" w:rsidR="001C64FB" w:rsidRDefault="001C64FB" w:rsidP="0031773C">
      <w:pPr>
        <w:rPr>
          <w:rFonts w:ascii="Times" w:hAnsi="Times"/>
          <w:bCs/>
        </w:rPr>
      </w:pPr>
    </w:p>
    <w:p w14:paraId="3854A2F3" w14:textId="2EDCD927" w:rsidR="00517E0B" w:rsidRDefault="000D769C" w:rsidP="00C228A3">
      <w:pPr>
        <w:rPr>
          <w:rFonts w:ascii="Times" w:hAnsi="Times"/>
          <w:bCs/>
        </w:rPr>
      </w:pPr>
      <w:r>
        <w:rPr>
          <w:noProof/>
        </w:rPr>
        <mc:AlternateContent>
          <mc:Choice Requires="wps">
            <w:drawing>
              <wp:anchor distT="0" distB="0" distL="114300" distR="114300" simplePos="0" relativeHeight="251671552" behindDoc="0" locked="0" layoutInCell="1" allowOverlap="1" wp14:anchorId="47D1DCF7" wp14:editId="5916DA94">
                <wp:simplePos x="0" y="0"/>
                <wp:positionH relativeFrom="column">
                  <wp:posOffset>3822065</wp:posOffset>
                </wp:positionH>
                <wp:positionV relativeFrom="paragraph">
                  <wp:posOffset>958215</wp:posOffset>
                </wp:positionV>
                <wp:extent cx="3045460" cy="25908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5460" cy="259080"/>
                        </a:xfrm>
                        <a:prstGeom prst="rect">
                          <a:avLst/>
                        </a:prstGeom>
                        <a:solidFill>
                          <a:prstClr val="white"/>
                        </a:solidFill>
                        <a:ln>
                          <a:noFill/>
                        </a:ln>
                        <a:effectLst/>
                      </wps:spPr>
                      <wps:txbx>
                        <w:txbxContent>
                          <w:p w14:paraId="1604BA7E" w14:textId="3C420FB7" w:rsidR="000D769C" w:rsidRPr="00F93E2C" w:rsidRDefault="000D769C" w:rsidP="000D769C">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Graph of Atlassian Corporation’s stock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1DCF7" id="Text Box 9" o:spid="_x0000_s1028" type="#_x0000_t202" style="position:absolute;margin-left:300.95pt;margin-top:75.45pt;width:239.8pt;height:20.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" stroked="f">
                <v:textbox style="mso-fit-shape-to-text:t" inset="0,0,0,0">
                  <w:txbxContent>
                    <w:p w14:paraId="1604BA7E" w14:textId="3C420FB7" w:rsidR="000D769C" w:rsidRPr="00F93E2C" w:rsidRDefault="000D769C" w:rsidP="000D769C">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Graph of Atlassian Corporation’s stock price</w:t>
                      </w:r>
                    </w:p>
                  </w:txbxContent>
                </v:textbox>
                <w10:wrap type="square"/>
              </v:shape>
            </w:pict>
          </mc:Fallback>
        </mc:AlternateContent>
      </w:r>
      <w:r>
        <w:rPr>
          <w:rFonts w:ascii="Arial Narrow" w:hAnsi="Arial Narrow"/>
          <w:b/>
          <w:noProof/>
          <w:sz w:val="32"/>
          <w:szCs w:val="32"/>
        </w:rPr>
        <w:drawing>
          <wp:anchor distT="0" distB="0" distL="114300" distR="114300" simplePos="0" relativeHeight="251669504" behindDoc="0" locked="0" layoutInCell="1" allowOverlap="1" wp14:anchorId="5CD97CD7" wp14:editId="31E1B2C6">
            <wp:simplePos x="0" y="0"/>
            <wp:positionH relativeFrom="column">
              <wp:posOffset>3822065</wp:posOffset>
            </wp:positionH>
            <wp:positionV relativeFrom="paragraph">
              <wp:posOffset>9525</wp:posOffset>
            </wp:positionV>
            <wp:extent cx="3045460" cy="891540"/>
            <wp:effectExtent l="0" t="0" r="2540" b="0"/>
            <wp:wrapSquare wrapText="bothSides"/>
            <wp:docPr id="8" name="Picture 8"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E0B">
        <w:rPr>
          <w:rFonts w:ascii="Times" w:hAnsi="Times"/>
          <w:bCs/>
        </w:rPr>
        <w:t>Over the past six months Atlassian Corporation has displayed a cons</w:t>
      </w:r>
      <w:r w:rsidR="0075596E">
        <w:rPr>
          <w:rFonts w:ascii="Times" w:hAnsi="Times"/>
          <w:bCs/>
        </w:rPr>
        <w:t xml:space="preserve">istent financial growth. </w:t>
      </w:r>
      <w:r w:rsidR="00C228A3">
        <w:rPr>
          <w:rFonts w:ascii="Times" w:hAnsi="Times"/>
          <w:bCs/>
        </w:rPr>
        <w:t xml:space="preserve">Atlassian suffered a drop in share price at the beginning of the previous six months but then steadily recovered with a final financial growth of $8.16 (USD) or 26.76% </w:t>
      </w:r>
      <w:r>
        <w:rPr>
          <w:rFonts w:ascii="Times" w:hAnsi="Times"/>
          <w:bCs/>
        </w:rPr>
        <w:t>(Figure 3)</w:t>
      </w:r>
      <w:r w:rsidR="00C228A3">
        <w:rPr>
          <w:rFonts w:ascii="Times" w:hAnsi="Times"/>
          <w:bCs/>
        </w:rPr>
        <w:t>from the beginning of the previous six months.</w:t>
      </w:r>
      <w:r w:rsidR="00C228A3">
        <w:rPr>
          <w:rFonts w:ascii="Times" w:hAnsi="Times"/>
          <w:bCs/>
        </w:rPr>
        <w:tab/>
      </w:r>
    </w:p>
    <w:p w14:paraId="47090BC6" w14:textId="1BCB4E88" w:rsidR="006539B2" w:rsidRDefault="00480770" w:rsidP="00C228A3">
      <w:pPr>
        <w:rPr>
          <w:rFonts w:ascii="Times" w:hAnsi="Times"/>
          <w:bCs/>
        </w:rPr>
      </w:pPr>
      <w:r>
        <w:rPr>
          <w:noProof/>
        </w:rPr>
        <mc:AlternateContent>
          <mc:Choice Requires="wps">
            <w:drawing>
              <wp:anchor distT="0" distB="0" distL="114300" distR="114300" simplePos="0" relativeHeight="251668480" behindDoc="0" locked="0" layoutInCell="1" allowOverlap="1" wp14:anchorId="223A9A13" wp14:editId="3D358B57">
                <wp:simplePos x="0" y="0"/>
                <wp:positionH relativeFrom="column">
                  <wp:posOffset>3596640</wp:posOffset>
                </wp:positionH>
                <wp:positionV relativeFrom="paragraph">
                  <wp:posOffset>2040890</wp:posOffset>
                </wp:positionV>
                <wp:extent cx="3298825" cy="3911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98825" cy="391160"/>
                        </a:xfrm>
                        <a:prstGeom prst="rect">
                          <a:avLst/>
                        </a:prstGeom>
                        <a:solidFill>
                          <a:prstClr val="white"/>
                        </a:solidFill>
                        <a:ln>
                          <a:noFill/>
                        </a:ln>
                        <a:effectLst/>
                      </wps:spPr>
                      <wps:txbx>
                        <w:txbxContent>
                          <w:p w14:paraId="544CE55A" w14:textId="0B947D5B" w:rsidR="00480770" w:rsidRPr="00F02983" w:rsidRDefault="00480770" w:rsidP="000D769C">
                            <w:pPr>
                              <w:pStyle w:val="Caption"/>
                              <w:rPr>
                                <w:rFonts w:ascii="Arial Narrow" w:hAnsi="Arial Narrow"/>
                                <w:b/>
                                <w:noProof/>
                                <w:sz w:val="32"/>
                                <w:szCs w:val="32"/>
                              </w:rPr>
                            </w:pPr>
                            <w:r>
                              <w:t xml:space="preserve">Figure </w:t>
                            </w:r>
                            <w:r w:rsidR="000D769C">
                              <w:t>4</w:t>
                            </w:r>
                            <w:r>
                              <w:t xml:space="preserve"> Graph comparing the financial grwth of both the technology hardware and software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A9A13" id="Text Box 7" o:spid="_x0000_s1029" type="#_x0000_t202" style="position:absolute;margin-left:283.2pt;margin-top:160.7pt;width:259.75pt;height:30.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" stroked="f">
                <v:textbox style="mso-fit-shape-to-text:t" inset="0,0,0,0">
                  <w:txbxContent>
                    <w:p w14:paraId="544CE55A" w14:textId="0B947D5B" w:rsidR="00480770" w:rsidRPr="00F02983" w:rsidRDefault="00480770" w:rsidP="000D769C">
                      <w:pPr>
                        <w:pStyle w:val="Caption"/>
                        <w:rPr>
                          <w:rFonts w:ascii="Arial Narrow" w:hAnsi="Arial Narrow"/>
                          <w:b/>
                          <w:noProof/>
                          <w:sz w:val="32"/>
                          <w:szCs w:val="32"/>
                        </w:rPr>
                      </w:pPr>
                      <w:r>
                        <w:t xml:space="preserve">Figure </w:t>
                      </w:r>
                      <w:r w:rsidR="000D769C">
                        <w:t>4</w:t>
                      </w:r>
                      <w:r>
                        <w:t xml:space="preserve"> Graph comparing the financial grwth of both the technology hardware and software sector</w:t>
                      </w:r>
                    </w:p>
                  </w:txbxContent>
                </v:textbox>
                <w10:wrap type="square"/>
              </v:shape>
            </w:pict>
          </mc:Fallback>
        </mc:AlternateContent>
      </w:r>
      <w:r>
        <w:rPr>
          <w:rFonts w:ascii="Arial Narrow" w:hAnsi="Arial Narrow"/>
          <w:b/>
          <w:noProof/>
          <w:sz w:val="32"/>
          <w:szCs w:val="32"/>
        </w:rPr>
        <w:drawing>
          <wp:anchor distT="0" distB="0" distL="114300" distR="114300" simplePos="0" relativeHeight="251666432" behindDoc="0" locked="0" layoutInCell="1" allowOverlap="1" wp14:anchorId="4738F457" wp14:editId="6374310D">
            <wp:simplePos x="0" y="0"/>
            <wp:positionH relativeFrom="column">
              <wp:posOffset>3596640</wp:posOffset>
            </wp:positionH>
            <wp:positionV relativeFrom="paragraph">
              <wp:posOffset>167005</wp:posOffset>
            </wp:positionV>
            <wp:extent cx="3298825" cy="1816735"/>
            <wp:effectExtent l="0" t="0" r="3175" b="12065"/>
            <wp:wrapSquare wrapText="bothSides"/>
            <wp:docPr id="6" name="Picture 6"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825"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159388" w14:textId="62546813" w:rsidR="006539B2" w:rsidRDefault="00F01D7D" w:rsidP="00D508E6">
      <w:pPr>
        <w:rPr>
          <w:rFonts w:ascii="Times" w:hAnsi="Times"/>
          <w:bCs/>
        </w:rPr>
      </w:pPr>
      <w:r>
        <w:rPr>
          <w:rFonts w:ascii="Times" w:hAnsi="Times"/>
          <w:bCs/>
        </w:rPr>
        <w:t>The sector that Atlassian Corporation belongs to (Application Software (45103010)) has been steadily increasing pover the past twelve months. The sector worth started at roughly $1,550 (USD) and has increased to a final price of $1,825.50 (USD). Thi</w:t>
      </w:r>
      <w:r w:rsidR="00D508E6">
        <w:rPr>
          <w:rFonts w:ascii="Times" w:hAnsi="Times"/>
          <w:bCs/>
        </w:rPr>
        <w:t>s is because of the increase in</w:t>
      </w:r>
      <w:r w:rsidR="0080712C">
        <w:rPr>
          <w:rFonts w:ascii="Times" w:hAnsi="Times"/>
          <w:bCs/>
        </w:rPr>
        <w:t xml:space="preserve"> demand for more powerful Technology hardware and therefore the need for programs that can harness the hardware more </w:t>
      </w:r>
      <w:r w:rsidR="00D508E6">
        <w:rPr>
          <w:rFonts w:ascii="Times" w:hAnsi="Times"/>
          <w:bCs/>
        </w:rPr>
        <w:t>efficiently, This relationship between the hardware and software ind</w:t>
      </w:r>
      <w:r w:rsidR="000D769C">
        <w:rPr>
          <w:rFonts w:ascii="Times" w:hAnsi="Times"/>
          <w:bCs/>
        </w:rPr>
        <w:t>ustry can be seen on Figure 4</w:t>
      </w:r>
      <w:r w:rsidR="00D508E6">
        <w:rPr>
          <w:rFonts w:ascii="Times" w:hAnsi="Times"/>
          <w:bCs/>
        </w:rPr>
        <w:t xml:space="preserve"> that graphs the financial growth of botht the hardware and software sectors.</w:t>
      </w:r>
      <w:bookmarkStart w:id="0" w:name="_GoBack"/>
      <w:bookmarkEnd w:id="0"/>
    </w:p>
    <w:p w14:paraId="36901854" w14:textId="7B315115" w:rsidR="005F6609" w:rsidRPr="00B15635" w:rsidRDefault="005F6609" w:rsidP="0031773C">
      <w:pPr>
        <w:rPr>
          <w:rFonts w:ascii="Times" w:hAnsi="Times"/>
          <w:bCs/>
        </w:rPr>
      </w:pPr>
    </w:p>
    <w:p w14:paraId="3006ED99" w14:textId="14AD3888" w:rsidR="004C72E1" w:rsidRDefault="004C72E1" w:rsidP="00541552">
      <w:pPr>
        <w:rPr>
          <w:rFonts w:ascii="Arial Narrow" w:hAnsi="Arial Narrow"/>
          <w:b/>
          <w:sz w:val="32"/>
          <w:szCs w:val="32"/>
        </w:rPr>
      </w:pPr>
    </w:p>
    <w:p w14:paraId="38FFACD1" w14:textId="4657D6E3" w:rsidR="00B15635" w:rsidRDefault="00B15635" w:rsidP="00541552">
      <w:pPr>
        <w:rPr>
          <w:rFonts w:ascii="Arial Narrow" w:hAnsi="Arial Narrow"/>
          <w:b/>
          <w:sz w:val="32"/>
          <w:szCs w:val="32"/>
        </w:rPr>
      </w:pPr>
    </w:p>
    <w:p w14:paraId="181AB702" w14:textId="5B03B0B1" w:rsidR="00850774" w:rsidRDefault="00850774">
      <w:pPr>
        <w:spacing w:after="200" w:line="276" w:lineRule="auto"/>
        <w:rPr>
          <w:rFonts w:ascii="Arial Narrow" w:hAnsi="Arial Narrow"/>
          <w:b/>
          <w:sz w:val="32"/>
          <w:szCs w:val="32"/>
        </w:rPr>
      </w:pPr>
      <w:r>
        <w:rPr>
          <w:rFonts w:ascii="Arial Narrow" w:hAnsi="Arial Narrow"/>
          <w:b/>
          <w:sz w:val="32"/>
          <w:szCs w:val="32"/>
        </w:rPr>
        <w:br w:type="page"/>
      </w:r>
    </w:p>
    <w:p w14:paraId="5DCC30E5" w14:textId="327D9DC7" w:rsidR="00C05893" w:rsidRPr="006A114D" w:rsidRDefault="00A62249" w:rsidP="00CA0359">
      <w:pPr>
        <w:jc w:val="center"/>
        <w:rPr>
          <w:rFonts w:ascii="Arial Narrow" w:hAnsi="Arial Narrow"/>
          <w:b/>
          <w:sz w:val="32"/>
          <w:szCs w:val="32"/>
        </w:rPr>
      </w:pPr>
      <w:r>
        <w:rPr>
          <w:rFonts w:ascii="Arial Narrow" w:hAnsi="Arial Narrow"/>
          <w:b/>
          <w:sz w:val="32"/>
          <w:szCs w:val="32"/>
        </w:rPr>
        <w:lastRenderedPageBreak/>
        <w:t xml:space="preserve">MYP Individuals &amp; Societies  -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r w:rsidRPr="006A114D">
        <w:rPr>
          <w:rFonts w:ascii="Arial Narrow" w:hAnsi="Arial Narrow"/>
        </w:rPr>
        <w:t>i)</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rPr>
      </w:pPr>
    </w:p>
    <w:p w14:paraId="5AFF4075" w14:textId="77777777" w:rsidR="00C05893" w:rsidRDefault="00C05893" w:rsidP="00C05893">
      <w:pPr>
        <w:jc w:val="both"/>
        <w:rPr>
          <w:rFonts w:ascii="Arial Narrow" w:hAnsi="Arial Narrow"/>
          <w:b/>
        </w:rPr>
      </w:pPr>
    </w:p>
    <w:p w14:paraId="0D589D8D"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rPr>
      </w:pPr>
      <w:r w:rsidRPr="00973580">
        <w:rPr>
          <w:rFonts w:ascii="Arial Narrow" w:hAnsi="Arial Narrow"/>
        </w:rPr>
        <w:t>Indicatin</w:t>
      </w:r>
      <w:r w:rsidR="001C10B3" w:rsidRPr="00973580">
        <w:rPr>
          <w:rFonts w:ascii="Arial Narrow" w:hAnsi="Arial Narrow"/>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r w:rsidRPr="006A114D">
        <w:rPr>
          <w:rFonts w:ascii="Arial Narrow" w:hAnsi="Arial Narrow"/>
        </w:rPr>
        <w:t>i)</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relevant  </w:t>
      </w:r>
      <w:r w:rsidRPr="006A114D">
        <w:rPr>
          <w:rFonts w:ascii="Arial Narrow" w:hAnsi="Arial Narrow"/>
        </w:rPr>
        <w:t>information</w:t>
      </w:r>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rPr>
      </w:pPr>
    </w:p>
    <w:p w14:paraId="1B6F3374" w14:textId="77777777" w:rsidR="00CA0359" w:rsidRPr="00AD22F0" w:rsidRDefault="00CA0359" w:rsidP="00CA0359">
      <w:pPr>
        <w:jc w:val="both"/>
        <w:rPr>
          <w:rFonts w:ascii="Arial Narrow" w:hAnsi="Arial Narrow"/>
          <w:b/>
        </w:rPr>
      </w:pPr>
      <w:r w:rsidRPr="00AD22F0">
        <w:rPr>
          <w:rFonts w:ascii="Arial Narrow" w:hAnsi="Arial Narrow"/>
          <w:b/>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uses a research method(s)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rPr>
      </w:pPr>
    </w:p>
    <w:p w14:paraId="1C75A9C4" w14:textId="77777777" w:rsidR="00CA0359" w:rsidRDefault="00CA0359" w:rsidP="00CA0359">
      <w:pPr>
        <w:jc w:val="both"/>
        <w:rPr>
          <w:rFonts w:ascii="Arial Narrow" w:hAnsi="Arial Narrow"/>
        </w:rPr>
      </w:pPr>
      <w:r>
        <w:rPr>
          <w:rFonts w:ascii="Arial Narrow" w:hAnsi="Arial Narrow"/>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r w:rsidRPr="00A62249">
        <w:rPr>
          <w:rFonts w:ascii="Arial Narrow" w:hAnsi="Arial Narrow"/>
        </w:rPr>
        <w:t xml:space="preserve">i)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document sources of information using a recognised convention.</w:t>
      </w:r>
    </w:p>
    <w:p w14:paraId="4B0C30FF" w14:textId="77777777" w:rsidR="00AD22F0" w:rsidRDefault="00AD22F0" w:rsidP="00C05893">
      <w:pPr>
        <w:jc w:val="both"/>
        <w:rPr>
          <w:rFonts w:ascii="Arial Narrow" w:hAnsi="Arial Narrow"/>
          <w:b/>
        </w:rPr>
      </w:pPr>
    </w:p>
    <w:p w14:paraId="2DC07CA8" w14:textId="77777777" w:rsidR="00C05893" w:rsidRDefault="00C05893" w:rsidP="00C05893">
      <w:pPr>
        <w:jc w:val="both"/>
        <w:rPr>
          <w:rFonts w:ascii="Arial Narrow" w:hAnsi="Arial Narrow"/>
          <w:b/>
        </w:rPr>
      </w:pPr>
      <w:r>
        <w:rPr>
          <w:rFonts w:ascii="Arial Narrow" w:hAnsi="Arial Narrow"/>
          <w:b/>
        </w:rPr>
        <w:t>MYP ASSESSMENT CRITERIA – LEVELS OF ACHIEVEMENT</w:t>
      </w:r>
    </w:p>
    <w:p w14:paraId="4C7B0096" w14:textId="77777777" w:rsidR="00C05893"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pPr>
    </w:p>
    <w:p w14:paraId="77ACDC6C" w14:textId="77777777" w:rsidR="00C05893" w:rsidRPr="00851CB6" w:rsidRDefault="00C05893" w:rsidP="00C05893">
      <w:pPr>
        <w:tabs>
          <w:tab w:val="left" w:pos="993"/>
          <w:tab w:val="right" w:pos="9639"/>
        </w:tabs>
        <w:spacing w:line="360" w:lineRule="auto"/>
        <w:jc w:val="both"/>
      </w:pPr>
      <w:r>
        <w:rPr>
          <w:rFonts w:ascii="Arial Narrow" w:hAnsi="Arial Narrow"/>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rPr>
      </w:pPr>
    </w:p>
    <w:p w14:paraId="44D1EA20" w14:textId="77777777" w:rsidR="00A62249" w:rsidRPr="00A62249" w:rsidRDefault="00A62249" w:rsidP="00A62249">
      <w:pPr>
        <w:rPr>
          <w:rFonts w:ascii="Arial Narrow" w:hAnsi="Arial Narrow"/>
        </w:rPr>
      </w:pPr>
      <w:r w:rsidRPr="00A62249">
        <w:rPr>
          <w:rFonts w:ascii="Arial Narrow" w:hAnsi="Arial Narrow"/>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r w:rsidRPr="00A62249">
        <w:rPr>
          <w:rFonts w:ascii="Arial Narrow" w:hAnsi="Arial Narrow"/>
        </w:rPr>
        <w:t>i)</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t>synthesise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rPr>
      </w:pPr>
    </w:p>
    <w:p w14:paraId="02E1C339"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lastRenderedPageBreak/>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rPr>
      </w:pPr>
      <w:r w:rsidRPr="00973580">
        <w:rPr>
          <w:rFonts w:ascii="Arial Narrow" w:hAnsi="Arial Narrow"/>
        </w:rPr>
        <w:t>Indicating Level ________</w:t>
      </w:r>
      <w:r w:rsidR="00C05893" w:rsidRPr="00973580">
        <w:rPr>
          <w:rFonts w:ascii="Arial Narrow" w:hAnsi="Arial Narrow"/>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8DAC7" w14:textId="77777777" w:rsidR="00F84F0C" w:rsidRDefault="00F84F0C" w:rsidP="00A62249">
      <w:r>
        <w:separator/>
      </w:r>
    </w:p>
  </w:endnote>
  <w:endnote w:type="continuationSeparator" w:id="0">
    <w:p w14:paraId="53198590" w14:textId="77777777" w:rsidR="00F84F0C" w:rsidRDefault="00F84F0C"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9A8D" w14:textId="77777777" w:rsidR="00F84F0C" w:rsidRDefault="00F84F0C" w:rsidP="00A62249">
      <w:r>
        <w:separator/>
      </w:r>
    </w:p>
  </w:footnote>
  <w:footnote w:type="continuationSeparator" w:id="0">
    <w:p w14:paraId="0F07A790" w14:textId="77777777" w:rsidR="00F84F0C" w:rsidRDefault="00F84F0C" w:rsidP="00A62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06445"/>
    <w:rsid w:val="000119D8"/>
    <w:rsid w:val="000146F8"/>
    <w:rsid w:val="000153D3"/>
    <w:rsid w:val="00074204"/>
    <w:rsid w:val="000814CC"/>
    <w:rsid w:val="00085F49"/>
    <w:rsid w:val="00095E8F"/>
    <w:rsid w:val="000C6AD7"/>
    <w:rsid w:val="000C758E"/>
    <w:rsid w:val="000D3EAE"/>
    <w:rsid w:val="000D769C"/>
    <w:rsid w:val="000E22A5"/>
    <w:rsid w:val="000E5BD9"/>
    <w:rsid w:val="0014557D"/>
    <w:rsid w:val="00147041"/>
    <w:rsid w:val="00176195"/>
    <w:rsid w:val="001B68A4"/>
    <w:rsid w:val="001C10B3"/>
    <w:rsid w:val="001C64FB"/>
    <w:rsid w:val="001E0DBA"/>
    <w:rsid w:val="00222A03"/>
    <w:rsid w:val="00241A74"/>
    <w:rsid w:val="002A4EE1"/>
    <w:rsid w:val="002C1017"/>
    <w:rsid w:val="002E45BA"/>
    <w:rsid w:val="0031773C"/>
    <w:rsid w:val="0035767A"/>
    <w:rsid w:val="00361E9E"/>
    <w:rsid w:val="00375F8E"/>
    <w:rsid w:val="00381993"/>
    <w:rsid w:val="003B3809"/>
    <w:rsid w:val="00400553"/>
    <w:rsid w:val="0040639F"/>
    <w:rsid w:val="0042640A"/>
    <w:rsid w:val="004721EA"/>
    <w:rsid w:val="00480770"/>
    <w:rsid w:val="004858A3"/>
    <w:rsid w:val="004A4F7D"/>
    <w:rsid w:val="004C72E1"/>
    <w:rsid w:val="004F07B3"/>
    <w:rsid w:val="004F38EC"/>
    <w:rsid w:val="004F7850"/>
    <w:rsid w:val="00517E0B"/>
    <w:rsid w:val="0052746E"/>
    <w:rsid w:val="00541552"/>
    <w:rsid w:val="00547F3C"/>
    <w:rsid w:val="00595408"/>
    <w:rsid w:val="0059687A"/>
    <w:rsid w:val="005A39C9"/>
    <w:rsid w:val="005B2E3E"/>
    <w:rsid w:val="005D5347"/>
    <w:rsid w:val="005F6609"/>
    <w:rsid w:val="0062544D"/>
    <w:rsid w:val="0064419E"/>
    <w:rsid w:val="006539B2"/>
    <w:rsid w:val="006619D2"/>
    <w:rsid w:val="00663EEA"/>
    <w:rsid w:val="006A114D"/>
    <w:rsid w:val="006B195E"/>
    <w:rsid w:val="006B206D"/>
    <w:rsid w:val="006B5B89"/>
    <w:rsid w:val="006E74A7"/>
    <w:rsid w:val="007040F6"/>
    <w:rsid w:val="007419EC"/>
    <w:rsid w:val="007460D8"/>
    <w:rsid w:val="0075596E"/>
    <w:rsid w:val="00761FB8"/>
    <w:rsid w:val="007C4FE6"/>
    <w:rsid w:val="007C67F9"/>
    <w:rsid w:val="00800628"/>
    <w:rsid w:val="0080712C"/>
    <w:rsid w:val="00850774"/>
    <w:rsid w:val="008C1729"/>
    <w:rsid w:val="008F2EB0"/>
    <w:rsid w:val="009029AA"/>
    <w:rsid w:val="00927233"/>
    <w:rsid w:val="00973580"/>
    <w:rsid w:val="00A62249"/>
    <w:rsid w:val="00A729B9"/>
    <w:rsid w:val="00A8444E"/>
    <w:rsid w:val="00A938A9"/>
    <w:rsid w:val="00AB778F"/>
    <w:rsid w:val="00AD22F0"/>
    <w:rsid w:val="00AD5F47"/>
    <w:rsid w:val="00B15635"/>
    <w:rsid w:val="00B20A6B"/>
    <w:rsid w:val="00B472C6"/>
    <w:rsid w:val="00B83BCB"/>
    <w:rsid w:val="00BA2D2B"/>
    <w:rsid w:val="00BB7792"/>
    <w:rsid w:val="00BF3C7E"/>
    <w:rsid w:val="00BF6AD5"/>
    <w:rsid w:val="00C05893"/>
    <w:rsid w:val="00C05D56"/>
    <w:rsid w:val="00C228A3"/>
    <w:rsid w:val="00C353BE"/>
    <w:rsid w:val="00CA0359"/>
    <w:rsid w:val="00CA6C4E"/>
    <w:rsid w:val="00CD1558"/>
    <w:rsid w:val="00D313D9"/>
    <w:rsid w:val="00D44E4F"/>
    <w:rsid w:val="00D508E6"/>
    <w:rsid w:val="00D63EBB"/>
    <w:rsid w:val="00D72E7D"/>
    <w:rsid w:val="00D853FD"/>
    <w:rsid w:val="00DE4142"/>
    <w:rsid w:val="00E5388F"/>
    <w:rsid w:val="00EA1826"/>
    <w:rsid w:val="00EB48DF"/>
    <w:rsid w:val="00EE5ECD"/>
    <w:rsid w:val="00EF78A0"/>
    <w:rsid w:val="00F01D7D"/>
    <w:rsid w:val="00F07E47"/>
    <w:rsid w:val="00F11064"/>
    <w:rsid w:val="00F63B1E"/>
    <w:rsid w:val="00F84F0C"/>
    <w:rsid w:val="00FA4F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6F8"/>
    <w:pPr>
      <w:spacing w:after="0" w:line="240" w:lineRule="auto"/>
    </w:pPr>
    <w:rPr>
      <w:rFonts w:ascii="Times New Roman" w:hAnsi="Times New Roman"/>
      <w:sz w:val="24"/>
      <w:szCs w:val="24"/>
      <w:lang w:val="en-US" w:eastAsia="zh-CN"/>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rPr>
      <w:rFonts w:eastAsia="Times New Roman" w:cs="Times New Roman"/>
      <w:sz w:val="20"/>
      <w:szCs w:val="20"/>
      <w:lang w:val="en-AU" w:eastAsia="en-US"/>
    </w:rPr>
  </w:style>
  <w:style w:type="paragraph" w:styleId="Header">
    <w:name w:val="header"/>
    <w:basedOn w:val="Normal"/>
    <w:link w:val="Head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rFonts w:eastAsia="Times New Roman" w:cs="Times New Roman"/>
      <w:sz w:val="20"/>
      <w:szCs w:val="20"/>
      <w:lang w:val="en-GB"/>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 w:type="paragraph" w:styleId="BalloonText">
    <w:name w:val="Balloon Text"/>
    <w:basedOn w:val="Normal"/>
    <w:link w:val="BalloonTextChar"/>
    <w:uiPriority w:val="99"/>
    <w:semiHidden/>
    <w:unhideWhenUsed/>
    <w:rsid w:val="00A93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A9"/>
    <w:rPr>
      <w:rFonts w:ascii="Segoe UI" w:eastAsia="Times New Roman" w:hAnsi="Segoe UI" w:cs="Segoe UI"/>
      <w:sz w:val="18"/>
      <w:szCs w:val="18"/>
    </w:rPr>
  </w:style>
  <w:style w:type="paragraph" w:styleId="Caption">
    <w:name w:val="caption"/>
    <w:basedOn w:val="Normal"/>
    <w:next w:val="Normal"/>
    <w:uiPriority w:val="35"/>
    <w:unhideWhenUsed/>
    <w:qFormat/>
    <w:rsid w:val="000146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7974">
      <w:bodyDiv w:val="1"/>
      <w:marLeft w:val="0"/>
      <w:marRight w:val="0"/>
      <w:marTop w:val="0"/>
      <w:marBottom w:val="0"/>
      <w:divBdr>
        <w:top w:val="none" w:sz="0" w:space="0" w:color="auto"/>
        <w:left w:val="none" w:sz="0" w:space="0" w:color="auto"/>
        <w:bottom w:val="none" w:sz="0" w:space="0" w:color="auto"/>
        <w:right w:val="none" w:sz="0" w:space="0" w:color="auto"/>
      </w:divBdr>
    </w:div>
    <w:div w:id="571357635">
      <w:bodyDiv w:val="1"/>
      <w:marLeft w:val="0"/>
      <w:marRight w:val="0"/>
      <w:marTop w:val="0"/>
      <w:marBottom w:val="0"/>
      <w:divBdr>
        <w:top w:val="none" w:sz="0" w:space="0" w:color="auto"/>
        <w:left w:val="none" w:sz="0" w:space="0" w:color="auto"/>
        <w:bottom w:val="none" w:sz="0" w:space="0" w:color="auto"/>
        <w:right w:val="none" w:sz="0" w:space="0" w:color="auto"/>
      </w:divBdr>
    </w:div>
    <w:div w:id="662396809">
      <w:bodyDiv w:val="1"/>
      <w:marLeft w:val="0"/>
      <w:marRight w:val="0"/>
      <w:marTop w:val="0"/>
      <w:marBottom w:val="0"/>
      <w:divBdr>
        <w:top w:val="none" w:sz="0" w:space="0" w:color="auto"/>
        <w:left w:val="none" w:sz="0" w:space="0" w:color="auto"/>
        <w:bottom w:val="none" w:sz="0" w:space="0" w:color="auto"/>
        <w:right w:val="none" w:sz="0" w:space="0" w:color="auto"/>
      </w:divBdr>
    </w:div>
    <w:div w:id="737897382">
      <w:bodyDiv w:val="1"/>
      <w:marLeft w:val="0"/>
      <w:marRight w:val="0"/>
      <w:marTop w:val="0"/>
      <w:marBottom w:val="0"/>
      <w:divBdr>
        <w:top w:val="none" w:sz="0" w:space="0" w:color="auto"/>
        <w:left w:val="none" w:sz="0" w:space="0" w:color="auto"/>
        <w:bottom w:val="none" w:sz="0" w:space="0" w:color="auto"/>
        <w:right w:val="none" w:sz="0" w:space="0" w:color="auto"/>
      </w:divBdr>
    </w:div>
    <w:div w:id="903879036">
      <w:bodyDiv w:val="1"/>
      <w:marLeft w:val="0"/>
      <w:marRight w:val="0"/>
      <w:marTop w:val="0"/>
      <w:marBottom w:val="0"/>
      <w:divBdr>
        <w:top w:val="none" w:sz="0" w:space="0" w:color="auto"/>
        <w:left w:val="none" w:sz="0" w:space="0" w:color="auto"/>
        <w:bottom w:val="none" w:sz="0" w:space="0" w:color="auto"/>
        <w:right w:val="none" w:sz="0" w:space="0" w:color="auto"/>
      </w:divBdr>
    </w:div>
    <w:div w:id="976377951">
      <w:bodyDiv w:val="1"/>
      <w:marLeft w:val="0"/>
      <w:marRight w:val="0"/>
      <w:marTop w:val="0"/>
      <w:marBottom w:val="0"/>
      <w:divBdr>
        <w:top w:val="none" w:sz="0" w:space="0" w:color="auto"/>
        <w:left w:val="none" w:sz="0" w:space="0" w:color="auto"/>
        <w:bottom w:val="none" w:sz="0" w:space="0" w:color="auto"/>
        <w:right w:val="none" w:sz="0" w:space="0" w:color="auto"/>
      </w:divBdr>
    </w:div>
    <w:div w:id="1807163200">
      <w:bodyDiv w:val="1"/>
      <w:marLeft w:val="0"/>
      <w:marRight w:val="0"/>
      <w:marTop w:val="0"/>
      <w:marBottom w:val="0"/>
      <w:divBdr>
        <w:top w:val="none" w:sz="0" w:space="0" w:color="auto"/>
        <w:left w:val="none" w:sz="0" w:space="0" w:color="auto"/>
        <w:bottom w:val="none" w:sz="0" w:space="0" w:color="auto"/>
        <w:right w:val="none" w:sz="0" w:space="0" w:color="auto"/>
      </w:divBdr>
    </w:div>
    <w:div w:id="1810436906">
      <w:bodyDiv w:val="1"/>
      <w:marLeft w:val="0"/>
      <w:marRight w:val="0"/>
      <w:marTop w:val="0"/>
      <w:marBottom w:val="0"/>
      <w:divBdr>
        <w:top w:val="none" w:sz="0" w:space="0" w:color="auto"/>
        <w:left w:val="none" w:sz="0" w:space="0" w:color="auto"/>
        <w:bottom w:val="none" w:sz="0" w:space="0" w:color="auto"/>
        <w:right w:val="none" w:sz="0" w:space="0" w:color="auto"/>
      </w:divBdr>
    </w:div>
    <w:div w:id="1866477301">
      <w:bodyDiv w:val="1"/>
      <w:marLeft w:val="0"/>
      <w:marRight w:val="0"/>
      <w:marTop w:val="0"/>
      <w:marBottom w:val="0"/>
      <w:divBdr>
        <w:top w:val="none" w:sz="0" w:space="0" w:color="auto"/>
        <w:left w:val="none" w:sz="0" w:space="0" w:color="auto"/>
        <w:bottom w:val="none" w:sz="0" w:space="0" w:color="auto"/>
        <w:right w:val="none" w:sz="0" w:space="0" w:color="auto"/>
      </w:divBdr>
    </w:div>
    <w:div w:id="18780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my.scotch.wa.edu.au/year10/commerce/investing"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2813</Words>
  <Characters>16040</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3</cp:revision>
  <cp:lastPrinted>2017-05-26T09:30:00Z</cp:lastPrinted>
  <dcterms:created xsi:type="dcterms:W3CDTF">2017-05-28T08:57:00Z</dcterms:created>
  <dcterms:modified xsi:type="dcterms:W3CDTF">2017-05-28T09:49:00Z</dcterms:modified>
</cp:coreProperties>
</file>