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Research Paper Identified — Silent Voice</w:t>
      </w:r>
    </w:p>
    <w:p>
      <w:r>
        <w:rPr>
          <w:sz w:val="20"/>
        </w:rPr>
        <w:t>CB.SC.U4CSE23134  |  Radha Krishna  |  Group 1 (Team 1)  |  23CSE461 NNDL</w:t>
      </w:r>
    </w:p>
    <w:p/>
    <w:p>
      <w:pPr>
        <w:pStyle w:val="Heading1"/>
      </w:pPr>
      <w:r>
        <w:t>Base paper</w:t>
      </w:r>
    </w:p>
    <w:p>
      <w:r>
        <w:t>Sridhar, A., Ganesan, R. G., Kumar, P., &amp; Khapra, M. (2020). INCLUDE: A Large Scale Dataset for Indian Sign Language Recognition. Proceedings of the 28th ACM International Conference on Multimedia (ACM Multimedia 2020), 1366–1375.</w:t>
      </w:r>
    </w:p>
    <w:p>
      <w:r>
        <w:rPr>
          <w:b/>
        </w:rPr>
        <w:t xml:space="preserve">DOI: </w:t>
      </w:r>
      <w:r>
        <w:t>10.1145/3394171.3413528</w:t>
      </w:r>
    </w:p>
    <w:p>
      <w:r>
        <w:rPr>
          <w:b/>
        </w:rPr>
        <w:t xml:space="preserve">Dataset (Zenodo): </w:t>
      </w:r>
      <w:r>
        <w:t>https://zenodo.org/record/4010759</w:t>
      </w:r>
    </w:p>
    <w:p>
      <w:pPr>
        <w:pStyle w:val="Heading1"/>
      </w:pPr>
      <w:r>
        <w:t>Why this paper</w:t>
      </w:r>
    </w:p>
    <w:p>
      <w:r>
        <w:t>INCLUDE is the dataset this project is built on: 263 isolated-word Indian Sign Language classes recorded by deaf students and interpreters, used here as 261 classes / 4,276 clips after filtering. The paper's own baseline works directly on video frames (a 3D-CNN / LSTM over RGB); this project instead extracts MediaPipe landmarks first and classifies those, which gives smaller, faster models (1D CNN: 737K parameters, 0.74 ms/clip) while matching or exceeding the accuracy range the paper reports for its baselines.</w:t>
      </w:r>
    </w:p>
    <w:p>
      <w:pPr>
        <w:pStyle w:val="Heading1"/>
      </w:pPr>
      <w:r>
        <w:t>This project's contribution beyond the base paper</w:t>
      </w:r>
    </w:p>
    <w:p>
      <w:pPr>
        <w:pStyle w:val="ListBullet"/>
      </w:pPr>
      <w:r>
        <w:t>A systematic BiLSTM vs 1D CNN comparison on the same landmark representation (94.55% vs 91.74% test accuracy).</w:t>
      </w:r>
    </w:p>
    <w:p>
      <w:pPr>
        <w:pStyle w:val="ListBullet"/>
      </w:pPr>
      <w:r>
        <w:t>A feature-ablation study isolating the contribution of each hand and of body pose.</w:t>
      </w:r>
    </w:p>
    <w:p>
      <w:pPr>
        <w:pStyle w:val="ListBullet"/>
      </w:pPr>
      <w:r>
        <w:t>An explainability, calibration, robustness, adversarial and GAN-augmentation audit (section covered in Review 3).</w:t>
      </w:r>
    </w:p>
    <w:p>
      <w:pPr>
        <w:pStyle w:val="ListBullet"/>
      </w:pPr>
      <w:r>
        <w:t>A working end-to-end web application: live recognition, text-to-sign playback, and a crowdsourced data-contribution pipeline.</w:t>
      </w:r>
    </w:p>
    <w:p>
      <w:pPr>
        <w:pStyle w:val="ListBullet"/>
      </w:pPr>
      <w:r>
        <w:t>Root-cause analysis and fixes for webcam-vs-dataset camera-position skew, live windowing, and left-handed signers.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