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900"/>
      </w:pPr>
      <w:r>
        <w:rPr>
          <w:rFonts w:ascii="Calibri" w:cs="Calibri" w:eastAsia="Calibri" w:hAnsi="Calibri"/>
          <w:b/>
          <w:bCs/>
          <w:color w:val="1F5FA8"/>
          <w:spacing w:val="70"/>
          <w:sz w:val="19"/>
          <w:szCs w:val="19"/>
        </w:rPr>
        <w:t xml:space="preserve">FINAL YEAR PROJECT</w:t>
      </w:r>
    </w:p>
    <w:p>
      <w:pPr>
        <w:spacing w:after="60" w:before="150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Why This Approach</w:t>
      </w:r>
    </w:p>
    <w:p>
      <w:pPr>
        <w:pBdr>
          <w:bottom w:val="single" w:color="1F5FA8" w:sz="12" w:space="10"/>
        </w:pBdr>
        <w:spacing w:after="260"/>
      </w:pPr>
      <w:r>
        <w:rPr>
          <w:rFonts w:ascii="Calibri" w:cs="Calibri" w:eastAsia="Calibri" w:hAnsi="Calibri"/>
          <w:color w:val="5A5A6E"/>
          <w:sz w:val="26"/>
          <w:szCs w:val="26"/>
        </w:rPr>
        <w:t xml:space="preserve">What a graph has to do with a MOF, and what a spectrum is for</w:t>
      </w:r>
    </w:p>
    <w:p>
      <w:pPr>
        <w:spacing w:after="900" w:before="0" w:line="300"/>
      </w:pPr>
      <w:r>
        <w:rPr>
          <w:rFonts w:ascii="Calibri" w:cs="Calibri" w:eastAsia="Calibri" w:hAnsi="Calibri"/>
          <w:color w:val="5A5A6E"/>
          <w:sz w:val="21"/>
          <w:szCs w:val="21"/>
        </w:rPr>
        <w:t xml:space="preserve">The reasoning behind attacking a chemistry problem with network theory: why simulation does not scale, what the multifractal spectrum actually measures, why the decomposition has to come first, and what was and was not achieved.</w:t>
      </w:r>
    </w:p>
    <w:p>
      <w:pPr>
        <w:spacing w:after="40" w:before="0" w:line="300"/>
      </w:pPr>
      <w:r>
        <w:rPr>
          <w:rFonts w:ascii="Calibri" w:cs="Calibri" w:eastAsia="Calibri" w:hAnsi="Calibri"/>
          <w:color w:val="5A5A6E"/>
          <w:sz w:val="19"/>
          <w:szCs w:val="19"/>
        </w:rPr>
        <w:t xml:space="preserve">Metal–organic framework building-block decomposition</w:t>
      </w:r>
    </w:p>
    <w:p>
      <w:pPr>
        <w:spacing w:after="40" w:before="0" w:line="300"/>
      </w:pPr>
      <w:r>
        <w:rPr>
          <w:rFonts w:ascii="Calibri" w:cs="Calibri" w:eastAsia="Calibri" w:hAnsi="Calibri"/>
          <w:color w:val="5A5A6E"/>
          <w:sz w:val="19"/>
          <w:szCs w:val="19"/>
        </w:rPr>
        <w:t xml:space="preserve">Correcting the metal-oxo algorithm</w:t>
      </w:r>
    </w:p>
    <w:p>
      <w:r>
        <w:br w:type="pag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5FA8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5FA8" w:sz="10" w:space="6"/>
        </w:pBdr>
        <w:spacing w:after="170" w:before="360"/>
      </w:pPr>
      <w:r>
        <w:rPr>
          <w:rFonts w:ascii="Calibri" w:cs="Calibri" w:eastAsia="Calibri" w:hAnsi="Calibri"/>
          <w:b/>
          <w:bCs/>
          <w:color w:val="1F5FA8"/>
          <w:sz w:val="34"/>
          <w:szCs w:val="34"/>
        </w:rPr>
        <w:t xml:space="preserve">1 · The question this project asks</w:t>
      </w:r>
    </w:p>
    <w:p>
      <w:pPr>
        <w:spacing w:after="130" w:before="0" w:line="30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There are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hundreds of thousands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of known and hypothetical metal-organic frameworks. Finding out what any one of them can do — how much gas it holds, how selectively it separates a mixture — normally means a molecular simulation that takes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hours per structure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 Screening a database that size directly is not feasible.</w:t>
      </w:r>
    </w:p>
    <w:p>
      <w:pPr>
        <w:pBdr>
          <w:left w:val="single" w:color="E0A030" w:sz="18" w:space="8"/>
        </w:pBdr>
        <w:shd w:fill="FFF6E5" w:val="clear"/>
        <w:spacing w:after="0" w:before="140"/>
        <w:ind w:left="144"/>
      </w:pPr>
      <w:r>
        <w:rPr>
          <w:rFonts w:ascii="Calibri" w:cs="Calibri" w:eastAsia="Calibri" w:hAnsi="Calibri"/>
          <w:b/>
          <w:bCs/>
          <w:color w:val="7A5200"/>
          <w:sz w:val="20"/>
          <w:szCs w:val="20"/>
        </w:rPr>
        <w:t xml:space="preserve">The question</w:t>
      </w:r>
    </w:p>
    <w:p>
      <w:pPr>
        <w:pBdr>
          <w:left w:val="single" w:color="E0A030" w:sz="18" w:space="8"/>
        </w:pBdr>
        <w:shd w:fill="FFF6E5" w:val="clear"/>
        <w:spacing w:after="170" w:line="290"/>
        <w:ind w:left="144"/>
      </w:pPr>
      <w:r>
        <w:rPr>
          <w:rFonts w:ascii="Calibri" w:cs="Calibri" w:eastAsia="Calibri" w:hAnsi="Calibri"/>
          <w:color w:val="4A3800"/>
          <w:sz w:val="20"/>
          <w:szCs w:val="20"/>
        </w:rPr>
        <w:t xml:space="preserve">Can a </w:t>
      </w:r>
      <w:r>
        <w:rPr>
          <w:rFonts w:ascii="Calibri" w:cs="Calibri" w:eastAsia="Calibri" w:hAnsi="Calibri"/>
          <w:b/>
          <w:bCs/>
          <w:color w:val="4A3800"/>
          <w:sz w:val="20"/>
          <w:szCs w:val="20"/>
        </w:rPr>
        <w:t xml:space="preserve">purely structural, simulation-free descriptor</w:t>
      </w:r>
      <w:r>
        <w:rPr>
          <w:rFonts w:ascii="Calibri" w:cs="Calibri" w:eastAsia="Calibri" w:hAnsi="Calibri"/>
          <w:color w:val="4A3800"/>
          <w:sz w:val="20"/>
          <w:szCs w:val="20"/>
        </w:rPr>
        <w:t xml:space="preserve"> — computed from a framework's connectivity in seconds — group MOFs into meaningful families, so that a new framework can be placed against a known band and triaged without any expensive calculation?</w:t>
      </w:r>
    </w:p>
    <w:p>
      <w:pPr>
        <w:spacing w:after="130" w:before="0" w:line="30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value of an answer is not that it replaces simulation. It is that it decides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what to simulate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 Narrowing 100,000 candidates to a few hundred worth simulating properly is the entire point.</w:t>
      </w:r>
    </w:p>
    <w:p>
      <w:r>
        <w:br w:type="page"/>
      </w:r>
    </w:p>
    <w:p>
      <w:pPr>
        <w:pStyle w:val="Heading1"/>
        <w:pBdr>
          <w:bottom w:val="single" w:color="1F5FA8" w:sz="10" w:space="6"/>
        </w:pBdr>
        <w:spacing w:after="170" w:before="360"/>
      </w:pPr>
      <w:r>
        <w:rPr>
          <w:rFonts w:ascii="Calibri" w:cs="Calibri" w:eastAsia="Calibri" w:hAnsi="Calibri"/>
          <w:b/>
          <w:bCs/>
          <w:color w:val="1F5FA8"/>
          <w:sz w:val="34"/>
          <w:szCs w:val="34"/>
        </w:rPr>
        <w:t xml:space="preserve">2 · Why a graph</w:t>
      </w:r>
    </w:p>
    <w:p>
      <w:pPr>
        <w:spacing w:after="130" w:before="0" w:line="30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step from "crystal structure" to "network" is the one that needs justifying, so here is the chain in full.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A MOF is not a molecule — it is a repeating framework.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What distinguishes one MOF from another is not only which atoms it contains, but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how those atoms are wired together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 Two frameworks built from identical components can behave completely differently if the connectivity differs.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Wiring is exactly what a graph describes.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Collapse each building block to a point and each bond between blocks to a line. What remains is pure connectivity, with the chemistry deliberately stripped away.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The useful properties follow the wiring.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Gas moves through the pore network, and the pore network </w:t>
      </w:r>
      <w:r>
        <w:rPr>
          <w:rFonts w:ascii="Calibri" w:cs="Calibri" w:eastAsia="Calibri" w:hAnsi="Calibri"/>
          <w:i/>
          <w:iCs/>
          <w:color w:val="1A1A2E"/>
          <w:sz w:val="21"/>
          <w:szCs w:val="21"/>
        </w:rPr>
        <w:t xml:space="preserve">is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the empty space left behind by that wiring. A description of the connectivity is therefore a description of the pore system, which is what determines behaviour.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Networks can be measured.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Once the framework is a graph, decades of network science become applicable: coordination number, centrality, the Laplacian spectrum, fractal and multifractal measures.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A spectrum compresses a whole framework into a few numbers.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That is what makes comparison at scale possible — two MOFs or ten thousand, without simulating any of them.</w:t>
      </w:r>
    </w:p>
    <w:p>
      <w:pPr>
        <w:pBdr>
          <w:left w:val="single" w:color="E0A030" w:sz="18" w:space="8"/>
        </w:pBdr>
        <w:shd w:fill="FFF6E5" w:val="clear"/>
        <w:spacing w:after="0" w:before="140"/>
        <w:ind w:left="144"/>
      </w:pPr>
      <w:r>
        <w:rPr>
          <w:rFonts w:ascii="Calibri" w:cs="Calibri" w:eastAsia="Calibri" w:hAnsi="Calibri"/>
          <w:b/>
          <w:bCs/>
          <w:color w:val="7A5200"/>
          <w:sz w:val="20"/>
          <w:szCs w:val="20"/>
        </w:rPr>
        <w:t xml:space="preserve">What is deliberately lost</w:t>
      </w:r>
    </w:p>
    <w:p>
      <w:pPr>
        <w:pBdr>
          <w:left w:val="single" w:color="E0A030" w:sz="18" w:space="8"/>
        </w:pBdr>
        <w:shd w:fill="FFF6E5" w:val="clear"/>
        <w:spacing w:after="60" w:line="290"/>
        <w:ind w:left="144"/>
      </w:pPr>
      <w:r>
        <w:rPr>
          <w:rFonts w:ascii="Calibri" w:cs="Calibri" w:eastAsia="Calibri" w:hAnsi="Calibri"/>
          <w:color w:val="4A3800"/>
          <w:sz w:val="20"/>
          <w:szCs w:val="20"/>
        </w:rPr>
        <w:t xml:space="preserve">The graph is </w:t>
      </w:r>
      <w:r>
        <w:rPr>
          <w:rFonts w:ascii="Calibri" w:cs="Calibri" w:eastAsia="Calibri" w:hAnsi="Calibri"/>
          <w:b/>
          <w:bCs/>
          <w:color w:val="4A3800"/>
          <w:sz w:val="20"/>
          <w:szCs w:val="20"/>
        </w:rPr>
        <w:t xml:space="preserve">unweighted</w:t>
      </w:r>
      <w:r>
        <w:rPr>
          <w:rFonts w:ascii="Calibri" w:cs="Calibri" w:eastAsia="Calibri" w:hAnsi="Calibri"/>
          <w:color w:val="4A3800"/>
          <w:sz w:val="20"/>
          <w:szCs w:val="20"/>
        </w:rPr>
        <w:t xml:space="preserve">. It does not know which element an atom is, let alone its polarisability or binding energy. That is a genuine limitation and it is stated plainly wherever results are quoted.</w:t>
      </w:r>
    </w:p>
    <w:p>
      <w:pPr>
        <w:pBdr>
          <w:left w:val="single" w:color="E0A030" w:sz="18" w:space="8"/>
        </w:pBdr>
        <w:shd w:fill="FFF6E5" w:val="clear"/>
        <w:spacing w:after="170" w:line="290"/>
        <w:ind w:left="144"/>
      </w:pPr>
      <w:r>
        <w:rPr>
          <w:rFonts w:ascii="Calibri" w:cs="Calibri" w:eastAsia="Calibri" w:hAnsi="Calibri"/>
          <w:color w:val="4A3800"/>
          <w:sz w:val="20"/>
          <w:szCs w:val="20"/>
        </w:rPr>
        <w:t xml:space="preserve">It is also the point. Whatever survives that stripping is </w:t>
      </w:r>
      <w:r>
        <w:rPr>
          <w:rFonts w:ascii="Calibri" w:cs="Calibri" w:eastAsia="Calibri" w:hAnsi="Calibri"/>
          <w:b/>
          <w:bCs/>
          <w:color w:val="4A3800"/>
          <w:sz w:val="20"/>
          <w:szCs w:val="20"/>
        </w:rPr>
        <w:t xml:space="preserve">pure architecture</w:t>
      </w:r>
      <w:r>
        <w:rPr>
          <w:rFonts w:ascii="Calibri" w:cs="Calibri" w:eastAsia="Calibri" w:hAnsi="Calibri"/>
          <w:color w:val="4A3800"/>
          <w:sz w:val="20"/>
          <w:szCs w:val="20"/>
        </w:rPr>
        <w:t xml:space="preserve">, and architecture transfers across chemistries in a way an element-specific descriptor cannot. A result that holds for a copper framework and a zinc framework alike is telling you something structural.</w:t>
      </w:r>
    </w:p>
    <w:p>
      <w:r>
        <w:br w:type="page"/>
      </w:r>
    </w:p>
    <w:p>
      <w:pPr>
        <w:pStyle w:val="Heading1"/>
        <w:pBdr>
          <w:bottom w:val="single" w:color="1F5FA8" w:sz="10" w:space="6"/>
        </w:pBdr>
        <w:spacing w:after="170" w:before="360"/>
      </w:pPr>
      <w:r>
        <w:rPr>
          <w:rFonts w:ascii="Calibri" w:cs="Calibri" w:eastAsia="Calibri" w:hAnsi="Calibri"/>
          <w:b/>
          <w:bCs/>
          <w:color w:val="1F5FA8"/>
          <w:sz w:val="34"/>
          <w:szCs w:val="34"/>
        </w:rPr>
        <w:t xml:space="preserve">3 · What the multifractal spectrum measures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3.1 · Start with a simpler question</w:t>
      </w:r>
    </w:p>
    <w:p>
      <w:pPr>
        <w:spacing w:after="130" w:before="0" w:line="30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How much network is near a given block?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Centre a ball of radius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r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on it and count what falls inside. Do that for a range of radii and you have a growth curve for that block; do it for every influential block and you have a set of curves.</w:t>
      </w:r>
    </w:p>
    <w:p>
      <w:pPr>
        <w:spacing w:after="130" w:before="0" w:line="30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If a framework were perfectly uniform, every block would grow at the same rate, and a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single number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— an ordinary fractal dimension — would describe the whole thing. Real frameworks are not uniform. Some regions are tightly tied together; others open out into large voids. So instead of one number you need a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distribution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of growth rates, and that distribution is the multifractal spectrum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f(α)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3.2 · Reading the spectrum</w:t>
      </w:r>
    </w:p>
    <w:tbl>
      <w:tblPr>
        <w:tblW w:type="dxa" w:w="9360"/>
        <w:tblBorders>
          <w:top w:val="single" w:color="D6DCE5" w:sz="4"/>
          <w:left w:val="single" w:color="D6DCE5" w:sz="4"/>
          <w:bottom w:val="single" w:color="D6DCE5" w:sz="4"/>
          <w:right w:val="single" w:color="D6DCE5" w:sz="4"/>
          <w:insideH w:val="single" w:color="D6DCE5" w:sz="4"/>
          <w:insideV w:val="single" w:color="D6DCE5" w:sz="4"/>
        </w:tblBorders>
      </w:tblPr>
      <w:tblGrid>
        <w:gridCol w:w="1030"/>
        <w:gridCol w:w="2621"/>
        <w:gridCol w:w="5709"/>
      </w:tblGrid>
      <w:tr>
        <w:trPr>
          <w:tblHeader/>
        </w:trPr>
        <w:tc>
          <w:tcPr>
            <w:tcW w:type="dxa" w:w="1030"/>
            <w:shd w:fill="1F5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tcW w:type="dxa" w:w="2621"/>
            <w:shd w:fill="1F5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Formal definition</w:t>
            </w:r>
          </w:p>
        </w:tc>
        <w:tc>
          <w:tcPr>
            <w:tcW w:type="dxa" w:w="5709"/>
            <w:shd w:fill="1F5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means physically</w:t>
            </w:r>
          </w:p>
        </w:tc>
      </w:tr>
      <w:tr>
        <w:trPr>
          <w:tblHeader w:val="false"/>
        </w:trPr>
        <w:tc>
          <w:tcPr>
            <w:tcW w:type="dxa" w:w="10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α</w:t>
            </w:r>
          </w:p>
        </w:tc>
        <w:tc>
          <w:tcPr>
            <w:tcW w:type="dxa" w:w="2621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dτ/dq</w:t>
            </w:r>
          </w:p>
        </w:tc>
        <w:tc>
          <w:tcPr>
            <w:tcW w:type="dxa" w:w="5709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how fast the network grows around one particular block — a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local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 dimension</w:t>
            </w:r>
          </w:p>
        </w:tc>
      </w:tr>
      <w:tr>
        <w:trPr>
          <w:tblHeader w:val="false"/>
        </w:trPr>
        <w:tc>
          <w:tcPr>
            <w:tcW w:type="dxa" w:w="103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f(α)</w:t>
            </w:r>
          </w:p>
        </w:tc>
        <w:tc>
          <w:tcPr>
            <w:tcW w:type="dxa" w:w="2621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qα − τ</w:t>
            </w:r>
          </w:p>
        </w:tc>
        <w:tc>
          <w:tcPr>
            <w:tcW w:type="dxa" w:w="5709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how much of the framework shares that growth rate</w:t>
            </w:r>
          </w:p>
        </w:tc>
      </w:tr>
      <w:tr>
        <w:trPr>
          <w:tblHeader w:val="false"/>
        </w:trPr>
        <w:tc>
          <w:tcPr>
            <w:tcW w:type="dxa" w:w="10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α₀</w:t>
            </w:r>
          </w:p>
        </w:tc>
        <w:tc>
          <w:tcPr>
            <w:tcW w:type="dxa" w:w="2621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the α at which f(α) peaks</w:t>
            </w:r>
          </w:p>
        </w:tc>
        <w:tc>
          <w:tcPr>
            <w:tcW w:type="dxa" w:w="5709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typical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 growth rate — the framework's dominant dimension</w:t>
            </w:r>
          </w:p>
        </w:tc>
      </w:tr>
      <w:tr>
        <w:trPr>
          <w:tblHeader w:val="false"/>
        </w:trPr>
        <w:tc>
          <w:tcPr>
            <w:tcW w:type="dxa" w:w="103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`Δα`</w:t>
            </w:r>
          </w:p>
        </w:tc>
        <w:tc>
          <w:tcPr>
            <w:tcW w:type="dxa" w:w="2621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α_max − α_min</w:t>
            </w:r>
          </w:p>
        </w:tc>
        <w:tc>
          <w:tcPr>
            <w:tcW w:type="dxa" w:w="5709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how varied the framework is.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 Narrow means uniform throughout; wide means a mix of tight regions and open ones</w:t>
            </w:r>
          </w:p>
        </w:tc>
      </w:tr>
      <w:tr>
        <w:trPr>
          <w:tblHeader w:val="false"/>
        </w:trPr>
        <w:tc>
          <w:tcPr>
            <w:tcW w:type="dxa" w:w="10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A</w:t>
            </w:r>
          </w:p>
        </w:tc>
        <w:tc>
          <w:tcPr>
            <w:tcW w:type="dxa" w:w="2621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B03060"/>
                <w:sz w:val="17"/>
                <w:szCs w:val="17"/>
              </w:rPr>
              <w:t xml:space="preserve">ln[(α₀−α_min)/(α_max−α₀)]</w:t>
            </w:r>
          </w:p>
        </w:tc>
        <w:tc>
          <w:tcPr>
            <w:tcW w:type="dxa" w:w="5709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which side dominates — mostly dense with a few voids, or mostly open with a few dense knots</w:t>
            </w:r>
          </w:p>
        </w:tc>
      </w:tr>
    </w:tbl>
    <w:p>
      <w:pPr>
        <w:spacing w:after="190"/>
      </w:pPr>
    </w:p>
    <w:p>
      <w:pPr>
        <w:spacing w:after="130" w:before="0" w:line="30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So a spectrum is a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fingerprint of pore-network heterogeneity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expressed as a curve.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Δα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reduces that fingerprint to one number, which is what makes a </w:t>
      </w:r>
      <w:r>
        <w:rPr>
          <w:rFonts w:ascii="Calibri" w:cs="Calibri" w:eastAsia="Calibri" w:hAnsi="Calibri"/>
          <w:i/>
          <w:iCs/>
          <w:color w:val="1A1A2E"/>
          <w:sz w:val="21"/>
          <w:szCs w:val="21"/>
        </w:rPr>
        <w:t xml:space="preserve">band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— a range shared by a family — possible in the first place.</w:t>
      </w:r>
    </w:p>
    <w:p>
      <w:pPr>
        <w:pBdr>
          <w:left w:val="single" w:color="E0A030" w:sz="18" w:space="8"/>
        </w:pBdr>
        <w:shd w:fill="FFF6E5" w:val="clear"/>
        <w:spacing w:after="0" w:before="140"/>
        <w:ind w:left="144"/>
      </w:pPr>
      <w:r>
        <w:rPr>
          <w:rFonts w:ascii="Calibri" w:cs="Calibri" w:eastAsia="Calibri" w:hAnsi="Calibri"/>
          <w:b/>
          <w:bCs/>
          <w:color w:val="7A5200"/>
          <w:sz w:val="20"/>
          <w:szCs w:val="20"/>
        </w:rPr>
        <w:t xml:space="preserve">The shape is not optional</w:t>
      </w:r>
    </w:p>
    <w:p>
      <w:pPr>
        <w:pBdr>
          <w:left w:val="single" w:color="E0A030" w:sz="18" w:space="8"/>
        </w:pBdr>
        <w:shd w:fill="FFF6E5" w:val="clear"/>
        <w:spacing w:after="60" w:line="290"/>
        <w:ind w:left="144"/>
      </w:pPr>
      <w:r>
        <w:rPr>
          <w:rFonts w:ascii="Consolas" w:cs="Consolas" w:eastAsia="Consolas" w:hAnsi="Consolas"/>
          <w:color w:val="B03060"/>
          <w:sz w:val="18"/>
          <w:szCs w:val="18"/>
        </w:rPr>
        <w:t xml:space="preserve">f(α)</w:t>
      </w:r>
      <w:r>
        <w:rPr>
          <w:rFonts w:ascii="Calibri" w:cs="Calibri" w:eastAsia="Calibri" w:hAnsi="Calibri"/>
          <w:color w:val="4A3800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4A3800"/>
          <w:sz w:val="20"/>
          <w:szCs w:val="20"/>
        </w:rPr>
        <w:t xml:space="preserve">must</w:t>
      </w:r>
      <w:r>
        <w:rPr>
          <w:rFonts w:ascii="Calibri" w:cs="Calibri" w:eastAsia="Calibri" w:hAnsi="Calibri"/>
          <w:color w:val="4A3800"/>
          <w:sz w:val="20"/>
          <w:szCs w:val="20"/>
        </w:rPr>
        <w:t xml:space="preserve"> be an inverted parabola whose peak sits at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q = 0</w:t>
      </w:r>
      <w:r>
        <w:rPr>
          <w:rFonts w:ascii="Calibri" w:cs="Calibri" w:eastAsia="Calibri" w:hAnsi="Calibri"/>
          <w:color w:val="4A3800"/>
          <w:sz w:val="20"/>
          <w:szCs w:val="20"/>
        </w:rPr>
        <w:t xml:space="preserve">, where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f(α₀) = D₀</w:t>
      </w:r>
      <w:r>
        <w:rPr>
          <w:rFonts w:ascii="Calibri" w:cs="Calibri" w:eastAsia="Calibri" w:hAnsi="Calibri"/>
          <w:color w:val="4A3800"/>
          <w:sz w:val="20"/>
          <w:szCs w:val="20"/>
        </w:rPr>
        <w:t xml:space="preserve">, the fractal dimension. If a computed spectrum slopes downhill instead, that is a mathematics error, not a property of the material.</w:t>
      </w:r>
    </w:p>
    <w:p>
      <w:pPr>
        <w:pBdr>
          <w:left w:val="single" w:color="E0A030" w:sz="18" w:space="8"/>
        </w:pBdr>
        <w:shd w:fill="FFF6E5" w:val="clear"/>
        <w:spacing w:after="170" w:line="290"/>
        <w:ind w:left="144"/>
      </w:pPr>
      <w:r>
        <w:rPr>
          <w:rFonts w:ascii="Calibri" w:cs="Calibri" w:eastAsia="Calibri" w:hAnsi="Calibri"/>
          <w:color w:val="4A3800"/>
          <w:sz w:val="20"/>
          <w:szCs w:val="20"/>
        </w:rPr>
        <w:t xml:space="preserve">This project had exactly that error — the mass exponent was extracted with a free-intercept fit rather than the paper's through-the-origin ratio, which forced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τ(0) = 0</w:t>
      </w:r>
      <w:r>
        <w:rPr>
          <w:rFonts w:ascii="Calibri" w:cs="Calibri" w:eastAsia="Calibri" w:hAnsi="Calibri"/>
          <w:color w:val="4A3800"/>
          <w:sz w:val="20"/>
          <w:szCs w:val="20"/>
        </w:rPr>
        <w:t xml:space="preserve"> and deleted the peak. It is documented in Document 4, Section 5.5. All 77 spectra are now proper parabolas.</w:t>
      </w:r>
    </w:p>
    <w:p>
      <w:r>
        <w:br w:type="page"/>
      </w:r>
    </w:p>
    <w:p>
      <w:pPr>
        <w:pStyle w:val="Heading1"/>
        <w:pBdr>
          <w:bottom w:val="single" w:color="1F5FA8" w:sz="10" w:space="6"/>
        </w:pBdr>
        <w:spacing w:after="170" w:before="360"/>
      </w:pPr>
      <w:r>
        <w:rPr>
          <w:rFonts w:ascii="Calibri" w:cs="Calibri" w:eastAsia="Calibri" w:hAnsi="Calibri"/>
          <w:b/>
          <w:bCs/>
          <w:color w:val="1F5FA8"/>
          <w:sz w:val="34"/>
          <w:szCs w:val="34"/>
        </w:rPr>
        <w:t xml:space="preserve">4 · Why the decomposition has to come first</w:t>
      </w:r>
    </w:p>
    <w:p>
      <w:pPr>
        <w:spacing w:after="130" w:before="0" w:line="30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None of the above can be computed until the framework has been split into building blocks. That step decides what the vertices of the graph </w:t>
      </w:r>
      <w:r>
        <w:rPr>
          <w:rFonts w:ascii="Calibri" w:cs="Calibri" w:eastAsia="Calibri" w:hAnsi="Calibri"/>
          <w:i/>
          <w:iCs/>
          <w:color w:val="1A1A2E"/>
          <w:sz w:val="21"/>
          <w:szCs w:val="21"/>
        </w:rPr>
        <w:t xml:space="preserve">are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so an error there propagates into everything downstream — coordination numbers, centralities, the spectrum, the band.</w:t>
      </w:r>
    </w:p>
    <w:p>
      <w:pPr>
        <w:spacing w:after="130" w:before="0" w:line="30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field does this with the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MOFid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pipeline (Snurr group, Northwestern), which is used to annotate the large public MOF databases. This project translates that pipeline into Python module by module and presents it as an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interactive visualisation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: the real code beside a live 3D model of the structure at each stage.</w:t>
      </w:r>
    </w:p>
    <w:p>
      <w:pPr>
        <w:pBdr>
          <w:left w:val="single" w:color="E0A030" w:sz="18" w:space="8"/>
        </w:pBdr>
        <w:shd w:fill="FFF6E5" w:val="clear"/>
        <w:spacing w:after="0" w:before="140"/>
        <w:ind w:left="144"/>
      </w:pPr>
      <w:r>
        <w:rPr>
          <w:rFonts w:ascii="Calibri" w:cs="Calibri" w:eastAsia="Calibri" w:hAnsi="Calibri"/>
          <w:b/>
          <w:bCs/>
          <w:color w:val="7A5200"/>
          <w:sz w:val="20"/>
          <w:szCs w:val="20"/>
        </w:rPr>
        <w:t xml:space="preserve">This is a visualisation, not a modification</w:t>
      </w:r>
    </w:p>
    <w:p>
      <w:pPr>
        <w:pBdr>
          <w:left w:val="single" w:color="E0A030" w:sz="18" w:space="8"/>
        </w:pBdr>
        <w:shd w:fill="FFF6E5" w:val="clear"/>
        <w:spacing w:after="60" w:line="290"/>
        <w:ind w:left="144"/>
      </w:pPr>
      <w:r>
        <w:rPr>
          <w:rFonts w:ascii="Calibri" w:cs="Calibri" w:eastAsia="Calibri" w:hAnsi="Calibri"/>
          <w:color w:val="4A3800"/>
          <w:sz w:val="20"/>
          <w:szCs w:val="20"/>
        </w:rPr>
        <w:t xml:space="preserve">The published algorithm is used </w:t>
      </w:r>
      <w:r>
        <w:rPr>
          <w:rFonts w:ascii="Calibri" w:cs="Calibri" w:eastAsia="Calibri" w:hAnsi="Calibri"/>
          <w:b/>
          <w:bCs/>
          <w:color w:val="4A3800"/>
          <w:sz w:val="20"/>
          <w:szCs w:val="20"/>
        </w:rPr>
        <w:t xml:space="preserve">unmodified</w:t>
      </w:r>
      <w:r>
        <w:rPr>
          <w:rFonts w:ascii="Calibri" w:cs="Calibri" w:eastAsia="Calibri" w:hAnsi="Calibri"/>
          <w:color w:val="4A3800"/>
          <w:sz w:val="20"/>
          <w:szCs w:val="20"/>
        </w:rPr>
        <w:t xml:space="preserve">. Nothing about it is changed, corrected or replaced.</w:t>
      </w:r>
    </w:p>
    <w:p>
      <w:pPr>
        <w:pBdr>
          <w:left w:val="single" w:color="E0A030" w:sz="18" w:space="8"/>
        </w:pBdr>
        <w:shd w:fill="FFF6E5" w:val="clear"/>
        <w:spacing w:after="170" w:line="290"/>
        <w:ind w:left="144"/>
      </w:pPr>
      <w:r>
        <w:rPr>
          <w:rFonts w:ascii="Calibri" w:cs="Calibri" w:eastAsia="Calibri" w:hAnsi="Calibri"/>
          <w:color w:val="4A3800"/>
          <w:sz w:val="20"/>
          <w:szCs w:val="20"/>
        </w:rPr>
        <w:t xml:space="preserve">The purpose is inspectability. The decomposition is normally a black box that turns a CIF into a list of blocks; making each stage visible is what lets anyone confirm that the blocks the network analysis runs on are the right ones. Any </w:t>
      </w:r>
      <w:r>
        <w:rPr>
          <w:rFonts w:ascii="Consolas" w:cs="Consolas" w:eastAsia="Consolas" w:hAnsi="Consolas"/>
          <w:color w:val="B03060"/>
          <w:sz w:val="18"/>
          <w:szCs w:val="18"/>
        </w:rPr>
        <w:t xml:space="preserve">.cif</w:t>
      </w:r>
      <w:r>
        <w:rPr>
          <w:rFonts w:ascii="Calibri" w:cs="Calibri" w:eastAsia="Calibri" w:hAnsi="Calibri"/>
          <w:color w:val="4A3800"/>
          <w:sz w:val="20"/>
          <w:szCs w:val="20"/>
        </w:rPr>
        <w:t xml:space="preserve"> can be uploaded and the whole pipeline runs on it live.</w:t>
      </w:r>
    </w:p>
    <w:p>
      <w:r>
        <w:br w:type="page"/>
      </w:r>
    </w:p>
    <w:p>
      <w:pPr>
        <w:pStyle w:val="Heading1"/>
        <w:pBdr>
          <w:bottom w:val="single" w:color="1F5FA8" w:sz="10" w:space="6"/>
        </w:pBdr>
        <w:spacing w:after="170" w:before="360"/>
      </w:pPr>
      <w:r>
        <w:rPr>
          <w:rFonts w:ascii="Calibri" w:cs="Calibri" w:eastAsia="Calibri" w:hAnsi="Calibri"/>
          <w:b/>
          <w:bCs/>
          <w:color w:val="1F5FA8"/>
          <w:sz w:val="34"/>
          <w:szCs w:val="34"/>
        </w:rPr>
        <w:t xml:space="preserve">5 · What was achieved, and what was not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5.1 · Achieved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A working visualisation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of the published decomposition, running live in a browser on any uploaded structure.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A correct periodic block graph.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All four test structures reproduce published coordination numbers, including UiO-66 at 12 where a naive construction gives 6.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A real finding about influence: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in a defect-free crystal, influence cannot be ranked, because every node is symmetry-equivalent and "top-k by degree" is a tie. Introducing a defect makes it measurable — λ₂ falls 1.44 → 1.19 for a single missing linker in HKUST-1.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A correctly computed multifractal spectrum.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All 77 frameworks give proper inverted parabolas peaking at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q = 0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A tight, well-defined band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across 77 frameworks: Δα interquartile 1.11 – 1.25, with the asymmetry negative in every single one.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5.2 · Not achieved — and why that is the result</w:t>
      </w:r>
    </w:p>
    <w:p>
      <w:pPr>
        <w:spacing w:after="130" w:before="0" w:line="30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band exists, but it cannot yet be read as a chemical statement. Testing it against published pore diameters shows the correlation is confounded by graph size:</w:t>
      </w:r>
    </w:p>
    <w:tbl>
      <w:tblPr>
        <w:tblW w:type="dxa" w:w="9360"/>
        <w:tblBorders>
          <w:top w:val="single" w:color="D6DCE5" w:sz="4"/>
          <w:left w:val="single" w:color="D6DCE5" w:sz="4"/>
          <w:bottom w:val="single" w:color="D6DCE5" w:sz="4"/>
          <w:right w:val="single" w:color="D6DCE5" w:sz="4"/>
          <w:insideH w:val="single" w:color="D6DCE5" w:sz="4"/>
          <w:insideV w:val="single" w:color="D6DCE5" w:sz="4"/>
        </w:tblBorders>
      </w:tblPr>
      <w:tblGrid>
        <w:gridCol w:w="5803"/>
        <w:gridCol w:w="3557"/>
      </w:tblGrid>
      <w:tr>
        <w:trPr>
          <w:tblHeader/>
        </w:trPr>
        <w:tc>
          <w:tcPr>
            <w:tcW w:type="dxa" w:w="5803"/>
            <w:shd w:fill="1F5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557"/>
            <w:shd w:fill="1F5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Correlation with Δα</w:t>
            </w:r>
          </w:p>
        </w:tc>
      </w:tr>
      <w:tr>
        <w:trPr>
          <w:tblHeader w:val="false"/>
        </w:trPr>
        <w:tc>
          <w:tcPr>
            <w:tcW w:type="dxa" w:w="580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pore diameter (LCD), raw</w:t>
            </w:r>
          </w:p>
        </w:tc>
        <w:tc>
          <w:tcPr>
            <w:tcW w:type="dxa" w:w="3557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−0.497</w:t>
            </w:r>
          </w:p>
        </w:tc>
      </w:tr>
      <w:tr>
        <w:trPr>
          <w:tblHeader w:val="false"/>
        </w:trPr>
        <w:tc>
          <w:tcPr>
            <w:tcW w:type="dxa" w:w="5803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pore diameter,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controlling for graph size</w:t>
            </w:r>
          </w:p>
        </w:tc>
        <w:tc>
          <w:tcPr>
            <w:tcW w:type="dxa" w:w="3557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+0.101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 — vanishes</w:t>
            </w:r>
          </w:p>
        </w:tc>
      </w:tr>
      <w:tr>
        <w:trPr>
          <w:tblHeader w:val="false"/>
        </w:trPr>
        <w:tc>
          <w:tcPr>
            <w:tcW w:type="dxa" w:w="580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graph size,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controlling for pore diameter</w:t>
            </w:r>
          </w:p>
        </w:tc>
        <w:tc>
          <w:tcPr>
            <w:tcW w:type="dxa" w:w="3557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+0.621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 — survives</w:t>
            </w:r>
          </w:p>
        </w:tc>
      </w:tr>
      <w:tr>
        <w:trPr>
          <w:tblHeader w:val="false"/>
        </w:trPr>
        <w:tc>
          <w:tcPr>
            <w:tcW w:type="dxa" w:w="5803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R² added by pore diameter over graph size alone</w:t>
            </w:r>
          </w:p>
        </w:tc>
        <w:tc>
          <w:tcPr>
            <w:tcW w:type="dxa" w:w="3557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+0.005</w:t>
            </w:r>
          </w:p>
        </w:tc>
      </w:tr>
    </w:tbl>
    <w:p>
      <w:pPr>
        <w:spacing w:after="190"/>
      </w:pPr>
    </w:p>
    <w:p>
      <w:pPr>
        <w:spacing w:after="130" w:before="0" w:line="30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Δα is mostly tracking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how many atoms are in the supercell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which is set by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MIN_CELL_LENGTH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and the </w:t>
      </w:r>
      <w:r>
        <w:rPr>
          <w:rFonts w:ascii="Consolas" w:cs="Consolas" w:eastAsia="Consolas" w:hAnsi="Consolas"/>
          <w:color w:val="B03060"/>
          <w:sz w:val="19"/>
          <w:szCs w:val="19"/>
        </w:rPr>
        <w:t xml:space="preserve">MAX_ATOMS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cap — computational parameters, not chemistry.</w:t>
      </w:r>
    </w:p>
    <w:p>
      <w:pPr>
        <w:pBdr>
          <w:left w:val="single" w:color="E0A030" w:sz="18" w:space="8"/>
        </w:pBdr>
        <w:shd w:fill="FFF6E5" w:val="clear"/>
        <w:spacing w:after="0" w:before="140"/>
        <w:ind w:left="144"/>
      </w:pPr>
      <w:r>
        <w:rPr>
          <w:rFonts w:ascii="Calibri" w:cs="Calibri" w:eastAsia="Calibri" w:hAnsi="Calibri"/>
          <w:b/>
          <w:bCs/>
          <w:color w:val="7A5200"/>
          <w:sz w:val="20"/>
          <w:szCs w:val="20"/>
        </w:rPr>
        <w:t xml:space="preserve">Why reporting this is the stronger position</w:t>
      </w:r>
    </w:p>
    <w:p>
      <w:pPr>
        <w:pBdr>
          <w:left w:val="single" w:color="E0A030" w:sz="18" w:space="8"/>
        </w:pBdr>
        <w:shd w:fill="FFF6E5" w:val="clear"/>
        <w:spacing w:after="60" w:line="290"/>
        <w:ind w:left="144"/>
      </w:pPr>
      <w:r>
        <w:rPr>
          <w:rFonts w:ascii="Calibri" w:cs="Calibri" w:eastAsia="Calibri" w:hAnsi="Calibri"/>
          <w:color w:val="4A3800"/>
          <w:sz w:val="20"/>
          <w:szCs w:val="20"/>
        </w:rPr>
        <w:t xml:space="preserve">A band built on an uncontrolled size effect would not survive the first person who checked it. Identifying the confound, quantifying it, and stating exactly what would remove it is a more defensible outcome than a correlation presented without that test.</w:t>
      </w:r>
    </w:p>
    <w:p>
      <w:pPr>
        <w:pBdr>
          <w:left w:val="single" w:color="E0A030" w:sz="18" w:space="8"/>
        </w:pBdr>
        <w:shd w:fill="FFF6E5" w:val="clear"/>
        <w:spacing w:after="170" w:line="290"/>
        <w:ind w:left="144"/>
      </w:pPr>
      <w:r>
        <w:rPr>
          <w:rFonts w:ascii="Calibri" w:cs="Calibri" w:eastAsia="Calibri" w:hAnsi="Calibri"/>
          <w:b/>
          <w:bCs/>
          <w:color w:val="4A3800"/>
          <w:sz w:val="20"/>
          <w:szCs w:val="20"/>
        </w:rPr>
        <w:t xml:space="preserve">Two concrete next steps, neither of them open research:</w:t>
      </w:r>
      <w:r>
        <w:rPr>
          <w:rFonts w:ascii="Calibri" w:cs="Calibri" w:eastAsia="Calibri" w:hAnsi="Calibri"/>
          <w:color w:val="4A3800"/>
          <w:sz w:val="20"/>
          <w:szCs w:val="20"/>
        </w:rPr>
        <w:t xml:space="preserve"> compare only frameworks at comparable graph size so the confound is held fixed; or normalise the fit window per structure so Δα stops growing with the graph, then re-test the correlation.</w:t>
      </w:r>
    </w:p>
    <w:sectPr>
      <w:footerReference w:type="default" r:id="rId7"/>
      <w:pgSz w:w="11906" w:h="16838" w:orient="portrait"/>
      <w:pgMar w:top="1200" w:right="1260" w:bottom="11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A6E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 This Approach</dc:title>
  <dc:creator>Final Year Project</dc:creator>
  <cp:lastModifiedBy>Un-named</cp:lastModifiedBy>
  <cp:revision>1</cp:revision>
  <dcterms:created xsi:type="dcterms:W3CDTF">2026-09-01T17:04:25.913Z</dcterms:created>
  <dcterms:modified xsi:type="dcterms:W3CDTF">2026-09-01T17:04:25.916Z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