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900"/>
      </w:pPr>
      <w:r>
        <w:rPr>
          <w:rFonts w:ascii="Calibri" w:cs="Calibri" w:eastAsia="Calibri" w:hAnsi="Calibri"/>
          <w:b/>
          <w:bCs/>
          <w:color w:val="1F5FA8"/>
          <w:spacing w:val="70"/>
          <w:sz w:val="19"/>
          <w:szCs w:val="19"/>
        </w:rPr>
        <w:t xml:space="preserve">FINAL YEAR PROJECT</w:t>
      </w:r>
    </w:p>
    <w:p>
      <w:pPr>
        <w:spacing w:after="60" w:before="150"/>
      </w:pPr>
      <w:r>
        <w:rPr>
          <w:rFonts w:ascii="Calibri" w:cs="Calibri" w:eastAsia="Calibri" w:hAnsi="Calibri"/>
          <w:b/>
          <w:bCs/>
          <w:color w:val="1A1A2E"/>
          <w:sz w:val="52"/>
          <w:szCs w:val="52"/>
        </w:rPr>
        <w:t xml:space="preserve">Network and Spectrum</w:t>
      </w:r>
    </w:p>
    <w:p>
      <w:pPr>
        <w:pBdr>
          <w:bottom w:val="single" w:color="1F5FA8" w:sz="12" w:space="10"/>
        </w:pBdr>
        <w:spacing w:after="260"/>
      </w:pPr>
      <w:r>
        <w:rPr>
          <w:rFonts w:ascii="Calibri" w:cs="Calibri" w:eastAsia="Calibri" w:hAnsi="Calibri"/>
          <w:color w:val="5A5A6E"/>
          <w:sz w:val="26"/>
          <w:szCs w:val="26"/>
        </w:rPr>
        <w:t xml:space="preserve">Influential nodes, the Laplacian, and the multifractal spectrum</w:t>
      </w:r>
    </w:p>
    <w:p>
      <w:pPr>
        <w:spacing w:after="900" w:before="0" w:line="300"/>
      </w:pPr>
      <w:r>
        <w:rPr>
          <w:rFonts w:ascii="Calibri" w:cs="Calibri" w:eastAsia="Calibri" w:hAnsi="Calibri"/>
          <w:color w:val="5A5A6E"/>
          <w:sz w:val="21"/>
          <w:szCs w:val="21"/>
        </w:rPr>
        <w:t xml:space="preserve">The theory behind the extension: how the periodic block graph is built, why influence is undefined in a perfect crystal, what the multifractal spectrum measures, and exactly how far the zirconium-family claim can honestly be taken.</w:t>
      </w:r>
    </w:p>
    <w:p>
      <w:pPr>
        <w:spacing w:after="40" w:before="0" w:line="300"/>
      </w:pPr>
      <w:r>
        <w:rPr>
          <w:rFonts w:ascii="Calibri" w:cs="Calibri" w:eastAsia="Calibri" w:hAnsi="Calibri"/>
          <w:color w:val="5A5A6E"/>
          <w:sz w:val="19"/>
          <w:szCs w:val="19"/>
        </w:rPr>
        <w:t xml:space="preserve">Metal–organic framework building-block decomposition</w:t>
      </w:r>
    </w:p>
    <w:p>
      <w:pPr>
        <w:spacing w:after="40" w:before="0" w:line="300"/>
      </w:pPr>
      <w:r>
        <w:rPr>
          <w:rFonts w:ascii="Calibri" w:cs="Calibri" w:eastAsia="Calibri" w:hAnsi="Calibri"/>
          <w:color w:val="5A5A6E"/>
          <w:sz w:val="19"/>
          <w:szCs w:val="19"/>
        </w:rPr>
        <w:t xml:space="preserve">Correcting the metal-oxo algorithm</w:t>
      </w:r>
    </w:p>
    <w:p>
      <w:r>
        <w:br w:type="page"/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F5FA8"/>
          <w:sz w:val="30"/>
          <w:szCs w:val="30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1 · The brief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extension to the project was set as: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highlight the influential nodes, find the spectrum, and deduce something like "all zirconium-based MOFs fall under this spectrum"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That is three separate tasks, and each one turned out to have a specific technical obstacle that had to be cleared before it could be answered. This document covers the theory behind all three, what was found, and — for the third — exactly what was and was not established.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2527"/>
        <w:gridCol w:w="3557"/>
        <w:gridCol w:w="3276"/>
      </w:tblGrid>
      <w:tr>
        <w:trPr>
          <w:tblHeader/>
        </w:trPr>
        <w:tc>
          <w:tcPr>
            <w:tcW w:type="dxa" w:w="2527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The brief</w:t>
            </w:r>
          </w:p>
        </w:tc>
        <w:tc>
          <w:tcPr>
            <w:tcW w:type="dxa" w:w="3557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The obstacle</w:t>
            </w:r>
          </w:p>
        </w:tc>
        <w:tc>
          <w:tcPr>
            <w:tcW w:type="dxa" w:w="3276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The outcome</w:t>
            </w:r>
          </w:p>
        </w:tc>
      </w:tr>
      <w:tr>
        <w:trPr>
          <w:tblHeader w:val="false"/>
        </w:trPr>
        <w:tc>
          <w:tcPr>
            <w:tcW w:type="dxa" w:w="252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Highlight influential nodes</w:t>
            </w:r>
          </w:p>
        </w:tc>
        <w:tc>
          <w:tcPr>
            <w:tcW w:type="dxa" w:w="355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graph must be periodic, or the degrees are wrong</w:t>
            </w:r>
          </w:p>
        </w:tc>
        <w:tc>
          <w:tcPr>
            <w:tcW w:type="dxa" w:w="327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Done — and the answer is more interesting than expected</w:t>
            </w:r>
          </w:p>
        </w:tc>
      </w:tr>
      <w:tr>
        <w:trPr>
          <w:tblHeader w:val="false"/>
        </w:trPr>
        <w:tc>
          <w:tcPr>
            <w:tcW w:type="dxa" w:w="252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Find the spectrum</w:t>
            </w:r>
          </w:p>
        </w:tc>
        <w:tc>
          <w:tcPr>
            <w:tcW w:type="dxa" w:w="355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original computation ran on a graph with zero edges</w:t>
            </w:r>
          </w:p>
        </w:tc>
        <w:tc>
          <w:tcPr>
            <w:tcW w:type="dxa" w:w="327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Fixed; the spectrum is now defined for every structure</w:t>
            </w:r>
          </w:p>
        </w:tc>
      </w:tr>
      <w:tr>
        <w:trPr>
          <w:tblHeader w:val="false"/>
        </w:trPr>
        <w:tc>
          <w:tcPr>
            <w:tcW w:type="dxa" w:w="252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Deduce a family band</w:t>
            </w:r>
          </w:p>
        </w:tc>
        <w:tc>
          <w:tcPr>
            <w:tcW w:type="dxa" w:w="355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One Zr structure cannot establish a family claim</w:t>
            </w:r>
          </w:p>
        </w:tc>
        <w:tc>
          <w:tcPr>
            <w:tcW w:type="dxa" w:w="327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Mechanism demonstrated; the claim itself needs more data</w:t>
            </w:r>
          </w:p>
        </w:tc>
      </w:tr>
    </w:tbl>
    <w:p>
      <w:pPr>
        <w:spacing w:after="190"/>
      </w:pPr>
    </w:p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2 · The periodic block graph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Everything in this document is computed on a graph whose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vertices are building blocks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and whose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edges are the connections between them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. Building that graph correctly is not optional detail — it is where the analysis is most easily invalidated.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2.1 · The labelled quotient graph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A crystal is infinite, so its block graph is infinite too. The standard finite representation is the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labelled quotient graph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: one vertex per block in the unit cell, and each edge labelled with the lattice translation it crosses.</w:t>
      </w:r>
    </w:p>
    <w:p>
      <w:pPr>
        <w:shd w:fill="F2F4F8" w:val="clear"/>
        <w:spacing w:after="0" w:before="6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edge = (block_A, block_B, t)        # t = (tx, ty, tz), integer translation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 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# t = (0, 0, 0)   both blocks are in the same unit cell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# t = (1, 0, 0)   block B is in the cell one step along a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# t = (0,-1, 1)   and so on</w:t>
      </w:r>
    </w:p>
    <w:p>
      <w:pPr>
        <w:spacing w:after="150" w:before="50"/>
      </w:pPr>
      <w:r>
        <w:rPr>
          <w:rFonts w:ascii="Calibri" w:cs="Calibri" w:eastAsia="Calibri" w:hAnsi="Calibri"/>
          <w:i/>
          <w:iCs/>
          <w:color w:val="5A5A6E"/>
          <w:sz w:val="16"/>
          <w:szCs w:val="16"/>
        </w:rPr>
        <w:t xml:space="preserve">The translation label is what makes a finite graph represent an infinite crystal exactly.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Two blocks can be connected by several edges with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different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translation labels, and those are genuinely different connections in the material. Discard the labels and they collapse into one, which is precisely how coordination numbers come out too low.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The measurement that proves this matters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UiO-66's Zr₆ cluster is 12-connected — this is published and not in dispute.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Built as a labelled quotient graph: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12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 Built without translation labels: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6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 Exactly half the connections vanish, and the reported structure is not UiO-66.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2.2 · Validation against published crystallography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graph construction is checked against known answers before anything is computed on it. All four structures pass: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1591"/>
        <w:gridCol w:w="1778"/>
        <w:gridCol w:w="1778"/>
        <w:gridCol w:w="1498"/>
        <w:gridCol w:w="1030"/>
        <w:gridCol w:w="1685"/>
      </w:tblGrid>
      <w:tr>
        <w:trPr>
          <w:tblHeader/>
        </w:trPr>
        <w:tc>
          <w:tcPr>
            <w:tcW w:type="dxa" w:w="1591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Structure</w:t>
            </w:r>
          </w:p>
        </w:tc>
        <w:tc>
          <w:tcPr>
            <w:tcW w:type="dxa" w:w="177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Node coordination</w:t>
            </w:r>
          </w:p>
        </w:tc>
        <w:tc>
          <w:tcPr>
            <w:tcW w:type="dxa" w:w="177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Linker coordination</w:t>
            </w:r>
          </w:p>
        </w:tc>
        <w:tc>
          <w:tcPr>
            <w:tcW w:type="dxa" w:w="149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Published</w:t>
            </w:r>
          </w:p>
        </w:tc>
        <w:tc>
          <w:tcPr>
            <w:tcW w:type="dxa" w:w="103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Net</w:t>
            </w:r>
          </w:p>
        </w:tc>
        <w:tc>
          <w:tcPr>
            <w:tcW w:type="dxa" w:w="1685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rPr>
          <w:tblHeader w:val="false"/>
        </w:trPr>
        <w:tc>
          <w:tcPr>
            <w:tcW w:type="dxa" w:w="1591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HKUST-1</w:t>
            </w:r>
          </w:p>
        </w:tc>
        <w:tc>
          <w:tcPr>
            <w:tcW w:type="dxa" w:w="177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177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3</w:t>
            </w:r>
          </w:p>
        </w:tc>
        <w:tc>
          <w:tcPr>
            <w:tcW w:type="dxa" w:w="149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(4, 3)</w:t>
            </w:r>
          </w:p>
        </w:tc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tbo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PASS</w:t>
            </w:r>
          </w:p>
        </w:tc>
      </w:tr>
      <w:tr>
        <w:trPr>
          <w:tblHeader w:val="false"/>
        </w:trPr>
        <w:tc>
          <w:tcPr>
            <w:tcW w:type="dxa" w:w="1591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MOF-5</w:t>
            </w:r>
          </w:p>
        </w:tc>
        <w:tc>
          <w:tcPr>
            <w:tcW w:type="dxa" w:w="177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6</w:t>
            </w:r>
          </w:p>
        </w:tc>
        <w:tc>
          <w:tcPr>
            <w:tcW w:type="dxa" w:w="177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149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(6, 2)</w:t>
            </w:r>
          </w:p>
        </w:tc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pcu</w:t>
            </w:r>
          </w:p>
        </w:tc>
        <w:tc>
          <w:tcPr>
            <w:tcW w:type="dxa" w:w="1685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PASS</w:t>
            </w:r>
          </w:p>
        </w:tc>
      </w:tr>
      <w:tr>
        <w:trPr>
          <w:tblHeader w:val="false"/>
        </w:trPr>
        <w:tc>
          <w:tcPr>
            <w:tcW w:type="dxa" w:w="1591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ZIF-8</w:t>
            </w:r>
          </w:p>
        </w:tc>
        <w:tc>
          <w:tcPr>
            <w:tcW w:type="dxa" w:w="177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177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149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(4, 2)</w:t>
            </w:r>
          </w:p>
        </w:tc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sod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PASS</w:t>
            </w:r>
          </w:p>
        </w:tc>
      </w:tr>
      <w:tr>
        <w:trPr>
          <w:tblHeader w:val="false"/>
        </w:trPr>
        <w:tc>
          <w:tcPr>
            <w:tcW w:type="dxa" w:w="1591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UiO-66</w:t>
            </w:r>
          </w:p>
        </w:tc>
        <w:tc>
          <w:tcPr>
            <w:tcW w:type="dxa" w:w="177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12</w:t>
            </w:r>
          </w:p>
        </w:tc>
        <w:tc>
          <w:tcPr>
            <w:tcW w:type="dxa" w:w="177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149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(12, 2)</w:t>
            </w:r>
          </w:p>
        </w:tc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fcu</w:t>
            </w:r>
          </w:p>
        </w:tc>
        <w:tc>
          <w:tcPr>
            <w:tcW w:type="dxa" w:w="1685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PASS</w:t>
            </w:r>
          </w:p>
        </w:tc>
      </w:tr>
    </w:tbl>
    <w:p>
      <w:pPr>
        <w:spacing w:after="190"/>
      </w:pP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This is the anchor for the whole extension. Any spectrum computed on a graph that fails this table is describing a material that does not exist.</w:t>
      </w:r>
    </w:p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3 · Influential nodes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3.1 · The three measures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Degree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— how many other blocks a block connects to. In this graph the degree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the coordination number, which is why it is the most meaningful of the three.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Eigenvector centrality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— a block is important if its neighbours are important. The leading eigenvector of the adjacency matrix, computed here by power iteration.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Betweenness centrality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— how many shortest paths pass through a block. Computed with Brandes' algorithm.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3.2 · The finding: influence cannot be ranked in a perfect crystal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brief asked for the influential nodes to be highlighted, with the natural implication of a top-k list. Running the measures gives a result that makes such a list meaningless: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Every one of the four structures has exactly TWO distinct degree values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One value for all nodes, one value for all linkers. Nothing else.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This is not a defect in the calculation — it is what a perfect crystal </w:t>
      </w:r>
      <w:r>
        <w:rPr>
          <w:rFonts w:ascii="Calibri" w:cs="Calibri" w:eastAsia="Calibri" w:hAnsi="Calibri"/>
          <w:i/>
          <w:iCs/>
          <w:color w:val="4A3800"/>
          <w:sz w:val="20"/>
          <w:szCs w:val="20"/>
        </w:rPr>
        <w:t xml:space="preserve">is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 Every metal cluster in HKUST-1 is related to every other by a symmetry operation, so they are genuinely, exactly identical. There is no "most influential" cluster because they cannot be told apart.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A top-12 list from such a graph is not a ranking. It is the first twelve entries of a tie, and its content depends entirely on the order the blocks happened to be indexed in.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This is a real and citable finding rather than a negative result. It says the question "which node is most influential?" is ill-posed for a defect-free framework, and it explains why an influence ranking computed on one is unstable. The degree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value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remains the most useful number in the analysis — it is the coordination number, and it determines the topology — but the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ranking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does not exist.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3.3 · A star graph is the diagnostic signature of a broken construction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A block graph in which one vertex has very high degree and essentially every other has degree 1 is not a MOF. It is what happens when periodic connections are dropped: the structure fragments, and the fragments attach to whatever single block survived. If the degree distribution has one huge value and a mass of 1s, the graph construction should be checked before the result is interpreted.</w:t>
      </w:r>
    </w:p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4 · The Laplacian spectrum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Laplacian is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L = D − A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where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D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is the diagonal matrix of degrees and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is the adjacency matrix. Its eigenvalues describe how well connected the network is.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B03060"/>
          <w:sz w:val="19"/>
          <w:szCs w:val="19"/>
        </w:rPr>
        <w:t xml:space="preserve">λ₁ = 0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always. Its multiplicity is the number of disconnected components — so a second zero eigenvalue means the framework has fallen apart, which is a useful automatic check.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`λ₂`, the algebraic connectivity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is the informative one. It measures how hard the network is to cut in two. A high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λ₂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means a robust, well-tied framework; a low one means the structure has a weak point.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largest eigenvalue is bounded by twice the maximum degree, which gives a cheap sanity check on the whole computation.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4.1 · Defects make influence measurable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If a perfect crystal has no distinguishable nodes, the way to recover a meaningful notion of influence is to break the symmetry — which is also what real materials do. Missing-linker defects are well documented in UiO-66 and are central to how MOFs are tuned in practice.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Removing a single linker from HKUST-1 and recomputing: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2434"/>
        <w:gridCol w:w="1685"/>
        <w:gridCol w:w="1872"/>
        <w:gridCol w:w="3369"/>
      </w:tblGrid>
      <w:tr>
        <w:trPr>
          <w:tblHeader/>
        </w:trPr>
        <w:tc>
          <w:tcPr>
            <w:tcW w:type="dxa" w:w="2434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Quantity</w:t>
            </w:r>
          </w:p>
        </w:tc>
        <w:tc>
          <w:tcPr>
            <w:tcW w:type="dxa" w:w="1685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Perfect crystal</w:t>
            </w:r>
          </w:p>
        </w:tc>
        <w:tc>
          <w:tcPr>
            <w:tcW w:type="dxa" w:w="1872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One linker removed</w:t>
            </w:r>
          </w:p>
        </w:tc>
        <w:tc>
          <w:tcPr>
            <w:tcW w:type="dxa" w:w="3369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Interpretation</w:t>
            </w:r>
          </w:p>
        </w:tc>
      </w:tr>
      <w:tr>
        <w:trPr>
          <w:tblHeader w:val="false"/>
        </w:trPr>
        <w:tc>
          <w:tcPr>
            <w:tcW w:type="dxa" w:w="243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Distinct centrality values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3369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Symmetry is broken; blocks become distinguishable</w:t>
            </w:r>
          </w:p>
        </w:tc>
      </w:tr>
      <w:tr>
        <w:trPr>
          <w:tblHeader w:val="false"/>
        </w:trPr>
        <w:tc>
          <w:tcPr>
            <w:tcW w:type="dxa" w:w="2434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Algebraic connectivity λ₂</w:t>
            </w:r>
          </w:p>
        </w:tc>
        <w:tc>
          <w:tcPr>
            <w:tcW w:type="dxa" w:w="1685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1.44</w:t>
            </w:r>
          </w:p>
        </w:tc>
        <w:tc>
          <w:tcPr>
            <w:tcW w:type="dxa" w:w="1872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1.19</w:t>
            </w:r>
          </w:p>
        </w:tc>
        <w:tc>
          <w:tcPr>
            <w:tcW w:type="dxa" w:w="3369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framework is measurably weaker</w:t>
            </w:r>
          </w:p>
        </w:tc>
      </w:tr>
      <w:tr>
        <w:trPr>
          <w:tblHeader w:val="false"/>
        </w:trPr>
        <w:tc>
          <w:tcPr>
            <w:tcW w:type="dxa" w:w="243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Influence ranking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undefined (all tied)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well defined</w:t>
            </w:r>
          </w:p>
        </w:tc>
        <w:tc>
          <w:tcPr>
            <w:tcW w:type="dxa" w:w="3369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brief's question now has an answer</w:t>
            </w:r>
          </w:p>
        </w:tc>
      </w:tr>
    </w:tbl>
    <w:p>
      <w:pPr>
        <w:spacing w:after="190"/>
      </w:pP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So the honest answer to "highlight the influential nodes" is: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in a perfect crystal there are none to highlight, and that is the finding; introduce a defect and influence becomes both defined and quantitative.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The 17% drop in λ₂ measures how much that single missing linker weakened the material.</w:t>
      </w:r>
    </w:p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5 · The multifractal spectrum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method comes from Xiao et al.,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"Deciphering the generating rules and functionalities of complex networks"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Scientific Reports 11, 22964 (2021)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. It characterises a network by how mass grows around its vertices, and produces a curve rather than a single number.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5.1 · The mathematics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1030"/>
        <w:gridCol w:w="3370"/>
        <w:gridCol w:w="4960"/>
      </w:tblGrid>
      <w:tr>
        <w:trPr>
          <w:tblHeader/>
        </w:trPr>
        <w:tc>
          <w:tcPr>
            <w:tcW w:type="dxa" w:w="103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Symbol</w:t>
            </w:r>
          </w:p>
        </w:tc>
        <w:tc>
          <w:tcPr>
            <w:tcW w:type="dxa" w:w="337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  <w:tc>
          <w:tcPr>
            <w:tcW w:type="dxa" w:w="496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What it means physically</w:t>
            </w:r>
          </w:p>
        </w:tc>
      </w:tr>
      <w:tr>
        <w:trPr>
          <w:tblHeader w:val="false"/>
        </w:trPr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M_i(r)</w:t>
            </w:r>
          </w:p>
        </w:tc>
        <w:tc>
          <w:tcPr>
            <w:tcW w:type="dxa" w:w="337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number of vertices within distance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r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of vertex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i</w:t>
            </w:r>
          </w:p>
        </w:tc>
        <w:tc>
          <w:tcPr>
            <w:tcW w:type="dxa" w:w="496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how much network is reachable in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r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steps</w:t>
            </w:r>
          </w:p>
        </w:tc>
      </w:tr>
      <w:tr>
        <w:trPr>
          <w:tblHeader w:val="false"/>
        </w:trPr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u_i(r)</w:t>
            </w:r>
          </w:p>
        </w:tc>
        <w:tc>
          <w:tcPr>
            <w:tcW w:type="dxa" w:w="337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M_i(r) / M</w:t>
            </w:r>
          </w:p>
        </w:tc>
        <w:tc>
          <w:tcPr>
            <w:tcW w:type="dxa" w:w="496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normalised mass around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i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— a probability</w:t>
            </w:r>
          </w:p>
        </w:tc>
      </w:tr>
      <w:tr>
        <w:trPr>
          <w:tblHeader w:val="false"/>
        </w:trPr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U_q(r)</w:t>
            </w:r>
          </w:p>
        </w:tc>
        <w:tc>
          <w:tcPr>
            <w:tcW w:type="dxa" w:w="337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Σ_i u_i(r)^q</w:t>
            </w:r>
          </w:p>
        </w:tc>
        <w:tc>
          <w:tcPr>
            <w:tcW w:type="dxa" w:w="496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partition function;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q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reweights dense vs sparse regions</w:t>
            </w:r>
          </w:p>
        </w:tc>
      </w:tr>
      <w:tr>
        <w:trPr>
          <w:tblHeader w:val="false"/>
        </w:trPr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τ(q)</w:t>
            </w:r>
          </w:p>
        </w:tc>
        <w:tc>
          <w:tcPr>
            <w:tcW w:type="dxa" w:w="337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exponent in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U_q(r) ~ (r/d)^τ(q)</w:t>
            </w:r>
          </w:p>
        </w:tc>
        <w:tc>
          <w:tcPr>
            <w:tcW w:type="dxa" w:w="496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mass exponent, from a log–log fit</w:t>
            </w:r>
          </w:p>
        </w:tc>
      </w:tr>
      <w:tr>
        <w:trPr>
          <w:tblHeader w:val="false"/>
        </w:trPr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α</w:t>
            </w:r>
          </w:p>
        </w:tc>
        <w:tc>
          <w:tcPr>
            <w:tcW w:type="dxa" w:w="337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dτ/dq</w:t>
            </w:r>
          </w:p>
        </w:tc>
        <w:tc>
          <w:tcPr>
            <w:tcW w:type="dxa" w:w="496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local scaling exponent — the local dimension</w:t>
            </w:r>
          </w:p>
        </w:tc>
      </w:tr>
      <w:tr>
        <w:trPr>
          <w:tblHeader w:val="false"/>
        </w:trPr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f(α)</w:t>
            </w:r>
          </w:p>
        </w:tc>
        <w:tc>
          <w:tcPr>
            <w:tcW w:type="dxa" w:w="337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qα − τ</w:t>
            </w:r>
          </w:p>
        </w:tc>
        <w:tc>
          <w:tcPr>
            <w:tcW w:type="dxa" w:w="496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how much of the network shares that local dimension</w:t>
            </w:r>
          </w:p>
        </w:tc>
      </w:tr>
      <w:tr>
        <w:trPr>
          <w:tblHeader w:val="false"/>
        </w:trPr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D(q)</w:t>
            </w:r>
          </w:p>
        </w:tc>
        <w:tc>
          <w:tcPr>
            <w:tcW w:type="dxa" w:w="337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τ(q)/q</w:t>
            </w:r>
          </w:p>
        </w:tc>
        <w:tc>
          <w:tcPr>
            <w:tcW w:type="dxa" w:w="496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generalised fractal dimension</w:t>
            </w:r>
          </w:p>
        </w:tc>
      </w:tr>
      <w:tr>
        <w:trPr>
          <w:tblHeader w:val="false"/>
        </w:trPr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α₀</w:t>
            </w:r>
          </w:p>
        </w:tc>
        <w:tc>
          <w:tcPr>
            <w:tcW w:type="dxa" w:w="337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α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where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f(α)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is maximum</w:t>
            </w:r>
          </w:p>
        </w:tc>
        <w:tc>
          <w:tcPr>
            <w:tcW w:type="dxa" w:w="496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dominant local dimension of the network</w:t>
            </w:r>
          </w:p>
        </w:tc>
      </w:tr>
      <w:tr>
        <w:trPr>
          <w:tblHeader w:val="false"/>
        </w:trPr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A</w:t>
            </w:r>
          </w:p>
        </w:tc>
        <w:tc>
          <w:tcPr>
            <w:tcW w:type="dxa" w:w="337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ln[(α₀−α_min)/(α_max−α₀)]</w:t>
            </w:r>
          </w:p>
        </w:tc>
        <w:tc>
          <w:tcPr>
            <w:tcW w:type="dxa" w:w="496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asymmetry — which side of the spectrum dominates</w:t>
            </w:r>
          </w:p>
        </w:tc>
      </w:tr>
      <w:tr>
        <w:trPr>
          <w:tblHeader w:val="false"/>
        </w:trPr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NFD</w:t>
            </w:r>
          </w:p>
        </w:tc>
        <w:tc>
          <w:tcPr>
            <w:tcW w:type="dxa" w:w="337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node fractal dimension</w:t>
            </w:r>
          </w:p>
        </w:tc>
        <w:tc>
          <w:tcPr>
            <w:tcW w:type="dxa" w:w="496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the single-number summary of growth</w:t>
            </w:r>
          </w:p>
        </w:tc>
      </w:tr>
    </w:tbl>
    <w:p>
      <w:pPr>
        <w:spacing w:after="190"/>
      </w:pP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role of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is the key idea. At large positive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the sum is dominated by vertices with the largest mass around them; at large negative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by the sparsest. Sweeping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therefore probes different parts of the network, and the resulting spread of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α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says whether the network scales uniformly (a single point — a simple fractal) or unevenly (a spread-out curve — a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multi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fractal).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5.2 · Box-growing, not box-covering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paper uses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box growing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: for each vertex, grow a ball of radius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r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and count what it contains. An alternative in the literature is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box covering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which tiles the whole network with boxes and is randomised — different runs give different answers.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Why the distinction mattered here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The first implementation used box covering. With the small number of trials typically used, the same structure gave a noticeably different spectrum on every run — measured spread in </w:t>
      </w:r>
      <w:r>
        <w:rPr>
          <w:rFonts w:ascii="Consolas" w:cs="Consolas" w:eastAsia="Consolas" w:hAnsi="Consolas"/>
          <w:color w:val="B03060"/>
          <w:sz w:val="18"/>
          <w:szCs w:val="18"/>
        </w:rPr>
        <w:t xml:space="preserve">α_max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of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0.171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for HKUST-1 across random seeds. Any band built from numbers that unstable is meaningless.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Raising the trial count to 40 cuts that spread to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0.006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, but at real cost in runtime.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Box growing, the method the paper actually specifies, is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deterministic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: the measured spread across seeds is exactly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0.00e+00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 Switching to the published method removed the reproducibility problem entirely rather than managing it.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5.3 · Results — the published NMFA method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2340"/>
        <w:gridCol w:w="1498"/>
        <w:gridCol w:w="3276"/>
        <w:gridCol w:w="2246"/>
      </w:tblGrid>
      <w:tr>
        <w:trPr>
          <w:tblHeader/>
        </w:trPr>
        <w:tc>
          <w:tcPr>
            <w:tcW w:type="dxa" w:w="234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Structure</w:t>
            </w:r>
          </w:p>
        </w:tc>
        <w:tc>
          <w:tcPr>
            <w:tcW w:type="dxa" w:w="149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Metal</w:t>
            </w:r>
          </w:p>
        </w:tc>
        <w:tc>
          <w:tcPr>
            <w:tcW w:type="dxa" w:w="3276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Node fractal dimension</w:t>
            </w:r>
          </w:p>
        </w:tc>
        <w:tc>
          <w:tcPr>
            <w:tcW w:type="dxa" w:w="2246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α₀</w:t>
            </w:r>
          </w:p>
        </w:tc>
      </w:tr>
      <w:tr>
        <w:trPr>
          <w:tblHeader w:val="false"/>
        </w:trPr>
        <w:tc>
          <w:tcPr>
            <w:tcW w:type="dxa" w:w="234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HKUST-1</w:t>
            </w:r>
          </w:p>
        </w:tc>
        <w:tc>
          <w:tcPr>
            <w:tcW w:type="dxa" w:w="149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Cu</w:t>
            </w:r>
          </w:p>
        </w:tc>
        <w:tc>
          <w:tcPr>
            <w:tcW w:type="dxa" w:w="327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1.68</w:t>
            </w:r>
          </w:p>
        </w:tc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1.63</w:t>
            </w:r>
          </w:p>
        </w:tc>
      </w:tr>
      <w:tr>
        <w:trPr>
          <w:tblHeader w:val="false"/>
        </w:trPr>
        <w:tc>
          <w:tcPr>
            <w:tcW w:type="dxa" w:w="234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MOF-5</w:t>
            </w:r>
          </w:p>
        </w:tc>
        <w:tc>
          <w:tcPr>
            <w:tcW w:type="dxa" w:w="149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Zn</w:t>
            </w:r>
          </w:p>
        </w:tc>
        <w:tc>
          <w:tcPr>
            <w:tcW w:type="dxa" w:w="327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1.81</w:t>
            </w:r>
          </w:p>
        </w:tc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1.61</w:t>
            </w:r>
          </w:p>
        </w:tc>
      </w:tr>
      <w:tr>
        <w:trPr>
          <w:tblHeader w:val="false"/>
        </w:trPr>
        <w:tc>
          <w:tcPr>
            <w:tcW w:type="dxa" w:w="234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ZIF-8</w:t>
            </w:r>
          </w:p>
        </w:tc>
        <w:tc>
          <w:tcPr>
            <w:tcW w:type="dxa" w:w="149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Zn</w:t>
            </w:r>
          </w:p>
        </w:tc>
        <w:tc>
          <w:tcPr>
            <w:tcW w:type="dxa" w:w="327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1.93</w:t>
            </w:r>
          </w:p>
        </w:tc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1.82</w:t>
            </w:r>
          </w:p>
        </w:tc>
      </w:tr>
      <w:tr>
        <w:trPr>
          <w:tblHeader w:val="false"/>
        </w:trPr>
        <w:tc>
          <w:tcPr>
            <w:tcW w:type="dxa" w:w="234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UiO-66</w:t>
            </w:r>
          </w:p>
        </w:tc>
        <w:tc>
          <w:tcPr>
            <w:tcW w:type="dxa" w:w="149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Zr</w:t>
            </w:r>
          </w:p>
        </w:tc>
        <w:tc>
          <w:tcPr>
            <w:tcW w:type="dxa" w:w="327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2.30</w:t>
            </w:r>
          </w:p>
        </w:tc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1.67</w:t>
            </w:r>
          </w:p>
        </w:tc>
      </w:tr>
    </w:tbl>
    <w:p>
      <w:pPr>
        <w:spacing w:after="190"/>
      </w:pP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5.4 · Results — iNMFA over the influential blocks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1778"/>
        <w:gridCol w:w="1030"/>
        <w:gridCol w:w="1217"/>
        <w:gridCol w:w="1591"/>
        <w:gridCol w:w="2246"/>
        <w:gridCol w:w="1498"/>
      </w:tblGrid>
      <w:tr>
        <w:trPr>
          <w:tblHeader/>
        </w:trPr>
        <w:tc>
          <w:tcPr>
            <w:tcW w:type="dxa" w:w="177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Structure</w:t>
            </w:r>
          </w:p>
        </w:tc>
        <w:tc>
          <w:tcPr>
            <w:tcW w:type="dxa" w:w="103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Metal</w:t>
            </w:r>
          </w:p>
        </w:tc>
        <w:tc>
          <w:tcPr>
            <w:tcW w:type="dxa" w:w="1217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Blocks</w:t>
            </w:r>
          </w:p>
        </w:tc>
        <w:tc>
          <w:tcPr>
            <w:tcW w:type="dxa" w:w="1591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Influential</w:t>
            </w:r>
          </w:p>
        </w:tc>
        <w:tc>
          <w:tcPr>
            <w:tcW w:type="dxa" w:w="2246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α range</w:t>
            </w:r>
          </w:p>
        </w:tc>
        <w:tc>
          <w:tcPr>
            <w:tcW w:type="dxa" w:w="149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Width</w:t>
            </w:r>
          </w:p>
        </w:tc>
      </w:tr>
      <w:tr>
        <w:trPr>
          <w:tblHeader w:val="false"/>
        </w:trPr>
        <w:tc>
          <w:tcPr>
            <w:tcW w:type="dxa" w:w="177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HKUST-1</w:t>
            </w:r>
          </w:p>
        </w:tc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Cu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112</w:t>
            </w:r>
          </w:p>
        </w:tc>
        <w:tc>
          <w:tcPr>
            <w:tcW w:type="dxa" w:w="1591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34</w:t>
            </w:r>
          </w:p>
        </w:tc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1.59 – 1.89</w:t>
            </w:r>
          </w:p>
        </w:tc>
        <w:tc>
          <w:tcPr>
            <w:tcW w:type="dxa" w:w="149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0.29 ± 0.06</w:t>
            </w:r>
          </w:p>
        </w:tc>
      </w:tr>
      <w:tr>
        <w:trPr>
          <w:tblHeader w:val="false"/>
        </w:trPr>
        <w:tc>
          <w:tcPr>
            <w:tcW w:type="dxa" w:w="177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MOF-5</w:t>
            </w:r>
          </w:p>
        </w:tc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Zn</w:t>
            </w:r>
          </w:p>
        </w:tc>
        <w:tc>
          <w:tcPr>
            <w:tcW w:type="dxa" w:w="121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256</w:t>
            </w:r>
          </w:p>
        </w:tc>
        <w:tc>
          <w:tcPr>
            <w:tcW w:type="dxa" w:w="1591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77</w:t>
            </w:r>
          </w:p>
        </w:tc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1.47 – 1.95</w:t>
            </w:r>
          </w:p>
        </w:tc>
        <w:tc>
          <w:tcPr>
            <w:tcW w:type="dxa" w:w="149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0.49 ± 0.05</w:t>
            </w:r>
          </w:p>
        </w:tc>
      </w:tr>
      <w:tr>
        <w:trPr>
          <w:tblHeader w:val="false"/>
        </w:trPr>
        <w:tc>
          <w:tcPr>
            <w:tcW w:type="dxa" w:w="177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ZIF-8</w:t>
            </w:r>
          </w:p>
        </w:tc>
        <w:tc>
          <w:tcPr>
            <w:tcW w:type="dxa" w:w="103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Zn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288</w:t>
            </w:r>
          </w:p>
        </w:tc>
        <w:tc>
          <w:tcPr>
            <w:tcW w:type="dxa" w:w="1591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87</w:t>
            </w:r>
          </w:p>
        </w:tc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1.19 – 1.99</w:t>
            </w:r>
          </w:p>
        </w:tc>
        <w:tc>
          <w:tcPr>
            <w:tcW w:type="dxa" w:w="149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0.80 ± 0.05</w:t>
            </w:r>
          </w:p>
        </w:tc>
      </w:tr>
      <w:tr>
        <w:trPr>
          <w:tblHeader w:val="false"/>
        </w:trPr>
        <w:tc>
          <w:tcPr>
            <w:tcW w:type="dxa" w:w="177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UiO-66</w:t>
            </w:r>
          </w:p>
        </w:tc>
        <w:tc>
          <w:tcPr>
            <w:tcW w:type="dxa" w:w="103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Zr</w:t>
            </w:r>
          </w:p>
        </w:tc>
        <w:tc>
          <w:tcPr>
            <w:tcW w:type="dxa" w:w="121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189</w:t>
            </w:r>
          </w:p>
        </w:tc>
        <w:tc>
          <w:tcPr>
            <w:tcW w:type="dxa" w:w="1591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57</w:t>
            </w:r>
          </w:p>
        </w:tc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1.80 – 2.57</w:t>
            </w:r>
          </w:p>
        </w:tc>
        <w:tc>
          <w:tcPr>
            <w:tcW w:type="dxa" w:w="149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0.77 ± 0.06</w:t>
            </w:r>
          </w:p>
        </w:tc>
      </w:tr>
    </w:tbl>
    <w:p>
      <w:pPr>
        <w:spacing w:after="190"/>
      </w:pP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These widths are approximate, and the reason is the tie degeneracy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In a perfect crystal there are only two distinct degrees, so "the top 30% by degree" is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a tie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 Which blocks get selected depends on the order the blocks happen to be labelled in — and two implementations that build the </w:t>
      </w:r>
      <w:r>
        <w:rPr>
          <w:rFonts w:ascii="Calibri" w:cs="Calibri" w:eastAsia="Calibri" w:hAnsi="Calibri"/>
          <w:i/>
          <w:iCs/>
          <w:color w:val="4A3800"/>
          <w:sz w:val="20"/>
          <w:szCs w:val="20"/>
        </w:rPr>
        <w:t xml:space="preserve">same graph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(identical edge sets, verified) can label it differently and report widths differing by more than 0.07.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This is the same degeneracy that makes influence unrankable (Section 3.2), reappearing in the spectrum.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iNMFA widths from a defect-free crystal should therefore be quoted with an error bar, not to three decimals.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Two things remove it, and both are used here: the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box-growing NMFA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of Section 5.3 is deterministic, so there is no covering randomness and no selection tie to begin with; and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defects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break the symmetry, after which the selection is well defined. The 8-framework band study of Section 8 is also unaffected, because it runs on full atomic graphs where degrees genuinely vary.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On the box-growing NMFA (5.3) the Zr structure separates cleanly: its node fractal dimension is the highest by a clear margin, which is what a 12-connected cluster should give, since more connections per node means mass grows faster with radius.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An earlier version of this table was wrong, and the correction changed the conclusion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The iNMFA widths above used to read 0.03, 0.09, 0.01 and 0.36, and were presented as showing Zr separating from Cu and Zn.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That separation was an artefact of an estimator bug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(Section 5.5). With the bug fixed, ZIF-8 (0.80, Zn) and UiO-66 (0.77, Zr) overlap almost completely, so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iNMFA alone does not separate the metals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The box-growing NMFA in 5.3 is computed differently and is not affected by the bug; its separation stands. Reporting both, and saying which one changed, is the honest presentation.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5.5 · Two bugs in the estimator, both found by checking against the paper</w:t>
      </w:r>
    </w:p>
    <w:p>
      <w:pPr>
        <w:pStyle w:val="Heading3"/>
        <w:spacing w:after="90" w:before="210"/>
      </w:pPr>
      <w:r>
        <w:rPr>
          <w:rFonts w:ascii="Calibri" w:cs="Calibri" w:eastAsia="Calibri" w:hAnsi="Calibri"/>
          <w:b/>
          <w:bCs/>
          <w:color w:val="5A5A6E"/>
          <w:sz w:val="22"/>
          <w:szCs w:val="22"/>
        </w:rPr>
        <w:t xml:space="preserve">Bug A — the spectrum had the wrong shape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A multifractal spectrum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f(α)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must be an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inverted parabola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whose peak sits at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 = 0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where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f(α₀) = D₀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the fractal dimension. Ours sloped downhill instead — which is a mathematics problem, not a property of the materials.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paper defines the mass exponent as a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ratio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τ(q) = ln 𝒫_q(r) / ln(r/r_N)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. Over several radii that is a straight-line fit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through the origin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because the relation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𝒫_q ~ (r/r_N)^τ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carries no prefactor. Our code used a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free-intercept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least-squares slope. At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 = 0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the difference is fatal: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at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 = 0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every term is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pr_i⁰ = 1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so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𝒫₀ = |I|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count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of influential nodes;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that count is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identical at every radius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so a free-intercept fit sees a flat line;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a flat line has slope zero, so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τ(0) = 0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and therefore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f(α₀) = 0·α − 0 = 0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peak is pinned to zero and the parabola vanishes. Measured across 77 frameworks: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τ(0) = 0 and f(0) = 0 in every one, and not one peaked at q = 0.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With the paper's definition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ln(r/r_N) &lt; 0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so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τ(0) = ln|I| / negative &lt; 0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f(α₀) = −τ(0) &gt; 0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— the peak returns.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Fixed, and re-measured on the full dataset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With </w:t>
      </w:r>
      <w:r>
        <w:rPr>
          <w:rFonts w:ascii="Consolas" w:cs="Consolas" w:eastAsia="Consolas" w:hAnsi="Consolas"/>
          <w:color w:val="B03060"/>
          <w:sz w:val="18"/>
          <w:szCs w:val="18"/>
        </w:rPr>
        <w:t xml:space="preserve">tau_mode="paper"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the recomputed spectra give τ(0) = −2.5669 and f(α₀) = +2.5669, and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all 77 of 77 frameworks now peak at q = 0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— proper inverted parabolas.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Everything downstream of τ changed with it: α₀, the asymmetry A and D(q) are meaningful quantities for the first time, and the Δα values roughly quadrupled (median 1.20, previously ~0.3).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2995"/>
        <w:gridCol w:w="1404"/>
        <w:gridCol w:w="1404"/>
        <w:gridCol w:w="1404"/>
        <w:gridCol w:w="2153"/>
      </w:tblGrid>
      <w:tr>
        <w:trPr>
          <w:tblHeader/>
        </w:trPr>
        <w:tc>
          <w:tcPr>
            <w:tcW w:type="dxa" w:w="2995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τ definition</w:t>
            </w:r>
          </w:p>
        </w:tc>
        <w:tc>
          <w:tcPr>
            <w:tcW w:type="dxa" w:w="1404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τ(0)</w:t>
            </w:r>
          </w:p>
        </w:tc>
        <w:tc>
          <w:tcPr>
            <w:tcW w:type="dxa" w:w="1404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f(0)</w:t>
            </w:r>
          </w:p>
        </w:tc>
        <w:tc>
          <w:tcPr>
            <w:tcW w:type="dxa" w:w="1404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peak at</w:t>
            </w:r>
          </w:p>
        </w:tc>
        <w:tc>
          <w:tcPr>
            <w:tcW w:type="dxa" w:w="2153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inverted parabola?</w:t>
            </w:r>
          </w:p>
        </w:tc>
      </w:tr>
      <w:tr>
        <w:trPr>
          <w:tblHeader w:val="false"/>
        </w:trPr>
        <w:tc>
          <w:tcPr>
            <w:tcW w:type="dxa" w:w="2995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free-intercept slope (ours)</w:t>
            </w:r>
          </w:p>
        </w:tc>
        <w:tc>
          <w:tcPr>
            <w:tcW w:type="dxa" w:w="140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0.0000</w:t>
            </w:r>
          </w:p>
        </w:tc>
        <w:tc>
          <w:tcPr>
            <w:tcW w:type="dxa" w:w="140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0.0000</w:t>
            </w:r>
          </w:p>
        </w:tc>
        <w:tc>
          <w:tcPr>
            <w:tcW w:type="dxa" w:w="140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q = −4</w:t>
            </w:r>
          </w:p>
        </w:tc>
        <w:tc>
          <w:tcPr>
            <w:tcW w:type="dxa" w:w="215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W w:type="dxa" w:w="2995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paper: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ln 𝒫_q / ln(r/r_N)</w:t>
            </w:r>
          </w:p>
        </w:tc>
        <w:tc>
          <w:tcPr>
            <w:tcW w:type="dxa" w:w="1404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−3.5028</w:t>
            </w:r>
          </w:p>
        </w:tc>
        <w:tc>
          <w:tcPr>
            <w:tcW w:type="dxa" w:w="1404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+3.5028</w:t>
            </w:r>
          </w:p>
        </w:tc>
        <w:tc>
          <w:tcPr>
            <w:tcW w:type="dxa" w:w="1404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q = 0</w:t>
            </w:r>
          </w:p>
        </w:tc>
        <w:tc>
          <w:tcPr>
            <w:tcW w:type="dxa" w:w="2153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yes</w:t>
            </w:r>
          </w:p>
        </w:tc>
      </w:tr>
    </w:tbl>
    <w:p>
      <w:pPr>
        <w:spacing w:after="190"/>
      </w:pP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Verified on a network built from scratch with identical data and only the τ definition swapped, then re-verified in both implementations: Python and the browser engine now agree at τ(0) = −2.6551 on HKUST-1. Selectable as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tau_mode="paper"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(the default) or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"slope"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to reproduce the old behaviour.</w:t>
      </w:r>
    </w:p>
    <w:p>
      <w:pPr>
        <w:pStyle w:val="Heading3"/>
        <w:spacing w:after="90" w:before="210"/>
      </w:pPr>
      <w:r>
        <w:rPr>
          <w:rFonts w:ascii="Calibri" w:cs="Calibri" w:eastAsia="Calibri" w:hAnsi="Calibri"/>
          <w:b/>
          <w:bCs/>
          <w:color w:val="5A5A6E"/>
          <w:sz w:val="22"/>
          <w:szCs w:val="22"/>
        </w:rPr>
        <w:t xml:space="preserve">Bug B — the averaging order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Box covering is random, so it is repeated many times and the results averaged.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The order of those two operations matters.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The partition function must be built per realisation and then averaged in log space. Averaging the probability measure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p_i(r)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across trials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first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and only then raising it to the power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q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exponentiates an already-smoothed quantity — which suppresses exactly the fluctuation that multifractality exists to measure, and biases every spectrum narrow.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4680"/>
        <w:gridCol w:w="2434"/>
        <w:gridCol w:w="2246"/>
      </w:tblGrid>
      <w:tr>
        <w:trPr>
          <w:tblHeader/>
        </w:trPr>
        <w:tc>
          <w:tcPr>
            <w:tcW w:type="dxa" w:w="4680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Estimator</w:t>
            </w:r>
          </w:p>
        </w:tc>
        <w:tc>
          <w:tcPr>
            <w:tcW w:type="dxa" w:w="2434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HKUST-1 width</w:t>
            </w:r>
          </w:p>
        </w:tc>
        <w:tc>
          <w:tcPr>
            <w:tcW w:type="dxa" w:w="2246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Seed-to-seed scatter</w:t>
            </w:r>
          </w:p>
        </w:tc>
      </w:tr>
      <w:tr>
        <w:trPr>
          <w:tblHeader w:val="false"/>
        </w:trPr>
        <w:tc>
          <w:tcPr>
            <w:tcW w:type="dxa" w:w="4680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Average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p(r)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first, then raise to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q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(wrong)</w:t>
            </w:r>
          </w:p>
        </w:tc>
        <w:tc>
          <w:tcPr>
            <w:tcW w:type="dxa" w:w="2434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0.021 ± 0.004</w:t>
            </w:r>
          </w:p>
        </w:tc>
        <w:tc>
          <w:tcPr>
            <w:tcW w:type="dxa" w:w="2246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17%</w:t>
            </w:r>
          </w:p>
        </w:tc>
      </w:tr>
      <w:tr>
        <w:trPr>
          <w:tblHeader w:val="false"/>
        </w:trPr>
        <w:tc>
          <w:tcPr>
            <w:tcW w:type="dxa" w:w="4680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Raise to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q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per trial, average </w:t>
            </w:r>
            <w:r>
              <w:rPr>
                <w:rFonts w:ascii="Consolas" w:cs="Consolas" w:eastAsia="Consolas" w:hAnsi="Consolas"/>
                <w:color w:val="B03060"/>
                <w:sz w:val="17"/>
                <w:szCs w:val="17"/>
              </w:rPr>
              <w:t xml:space="preserve">ln Z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(correct)</w:t>
            </w:r>
          </w:p>
        </w:tc>
        <w:tc>
          <w:tcPr>
            <w:tcW w:type="dxa" w:w="2434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0.327 ± 0.032</w:t>
            </w:r>
          </w:p>
        </w:tc>
        <w:tc>
          <w:tcPr>
            <w:tcW w:type="dxa" w:w="2246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10%</w:t>
            </w:r>
          </w:p>
        </w:tc>
      </w:tr>
    </w:tbl>
    <w:p>
      <w:pPr>
        <w:spacing w:after="190"/>
      </w:pP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Same graph, same random seeds, same box coverings — only the averaging order differs. The bug was present in both this project's implementation and, independently, in a teammate's separate notebook working on a different set of structures and a different graph construction. Two people found it on two datasets, which is reasonable evidence it is a genuine methodological trap rather than a typo. The browser implementation and the Python implementation were both corrected and re-cross-validated (0.317 vs 0.327, agreeing within seed scatter).</w:t>
      </w:r>
    </w:p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6 · The defect that made the spectrum undefined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single most consequential correction in this part of the work. The iNMFA computation was being run on the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induced subgraph of the influential blocks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— take the high-degree blocks, keep only the edges between them, compute the spectrum on that.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In a MOF, the high-degree blocks are the metal clusters. And metal clusters are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never bonded to each other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— they connect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through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linkers. So that induced subgraph has no edges at all.</w:t>
      </w:r>
    </w:p>
    <w:p>
      <w:pPr>
        <w:shd w:fill="F2F4F8" w:val="clear"/>
        <w:spacing w:after="0" w:before="6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Edges inside the influential-node induced subgraph: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 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  HKUST-1        0 edges     &lt;-- the spectrum was being computed on THIS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  MOF5           4 edges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  ZIF-8          0 edges     &lt;-- and THIS</w:t>
      </w:r>
    </w:p>
    <w:p>
      <w:pPr>
        <w:shd w:fill="F2F4F8" w:val="clear"/>
        <w:spacing w:after="0" w:before="0" w:line="250"/>
        <w:ind w:left="172"/>
      </w:pPr>
      <w:r>
        <w:rPr>
          <w:rFonts w:ascii="Consolas" w:cs="Consolas" w:eastAsia="Consolas" w:hAnsi="Consolas"/>
          <w:color w:val="20303F"/>
          <w:sz w:val="17"/>
          <w:szCs w:val="17"/>
        </w:rPr>
        <w:t xml:space="preserve">  UiO-66         4 edges</w:t>
      </w:r>
    </w:p>
    <w:p>
      <w:pPr>
        <w:spacing w:after="150" w:before="50"/>
      </w:pPr>
      <w:r>
        <w:rPr>
          <w:rFonts w:ascii="Calibri" w:cs="Calibri" w:eastAsia="Calibri" w:hAnsi="Calibri"/>
          <w:i/>
          <w:iCs/>
          <w:color w:val="5A5A6E"/>
          <w:sz w:val="16"/>
          <w:szCs w:val="16"/>
        </w:rPr>
        <w:t xml:space="preserve">Measured, and reproduced in the notebook. With no edges there are no distances, so no mass function, so no spectrum.</w:t>
      </w:r>
    </w:p>
    <w:p>
      <w:pPr>
        <w:spacing w:after="130" w:before="0" w:line="30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The correction: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compute the growth curves on the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full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block graph, and use the influential set only to select </w:t>
      </w:r>
      <w:r>
        <w:rPr>
          <w:rFonts w:ascii="Calibri" w:cs="Calibri" w:eastAsia="Calibri" w:hAnsi="Calibri"/>
          <w:i/>
          <w:iCs/>
          <w:color w:val="1A1A2E"/>
          <w:sz w:val="21"/>
          <w:szCs w:val="21"/>
        </w:rPr>
        <w:t xml:space="preserve">which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curves enter the analysis. The influential blocks are still the subject; they are simply measured in the network they actually live in. With that change the spectrum is defined for all four structures.</w:t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7 · The family band — what was and was not established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final part of the brief was to deduce something like "all Zr MOFs fall in this band". A band is the min–max envelope of a set of reference spectra; a candidate is scored by how much of its own spectrum falls inside.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mechanism works, and can be demonstrated on a genuine same-topology family — UiO-66 plus a set of missing-linker defect variants: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5242"/>
        <w:gridCol w:w="4118"/>
      </w:tblGrid>
      <w:tr>
        <w:trPr>
          <w:tblHeader/>
        </w:trPr>
        <w:tc>
          <w:tcPr>
            <w:tcW w:type="dxa" w:w="5242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Candidate</w:t>
            </w:r>
          </w:p>
        </w:tc>
        <w:tc>
          <w:tcPr>
            <w:tcW w:type="dxa" w:w="4118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Fraction of its spectrum inside the band</w:t>
            </w:r>
          </w:p>
        </w:tc>
      </w:tr>
      <w:tr>
        <w:trPr>
          <w:tblHeader w:val="false"/>
        </w:trPr>
        <w:tc>
          <w:tcPr>
            <w:tcW w:type="dxa" w:w="5242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Held-out member of the same family</w:t>
            </w:r>
          </w:p>
        </w:tc>
        <w:tc>
          <w:tcPr>
            <w:tcW w:type="dxa" w:w="411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53.3%</w:t>
            </w:r>
          </w:p>
        </w:tc>
      </w:tr>
      <w:tr>
        <w:trPr>
          <w:tblHeader w:val="false"/>
        </w:trPr>
        <w:tc>
          <w:tcPr>
            <w:tcW w:type="dxa" w:w="5242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Second held-out same-family member</w:t>
            </w:r>
          </w:p>
        </w:tc>
        <w:tc>
          <w:tcPr>
            <w:tcW w:type="dxa" w:w="411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87.3%</w:t>
            </w:r>
          </w:p>
        </w:tc>
      </w:tr>
      <w:tr>
        <w:trPr>
          <w:tblHeader w:val="false"/>
        </w:trPr>
        <w:tc>
          <w:tcPr>
            <w:tcW w:type="dxa" w:w="5242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HKUST-1 (different framework)</w:t>
            </w:r>
          </w:p>
        </w:tc>
        <w:tc>
          <w:tcPr>
            <w:tcW w:type="dxa" w:w="411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outside the band entirely</w:t>
            </w:r>
          </w:p>
        </w:tc>
      </w:tr>
      <w:tr>
        <w:trPr>
          <w:tblHeader w:val="false"/>
        </w:trPr>
        <w:tc>
          <w:tcPr>
            <w:tcW w:type="dxa" w:w="5242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MOF-5 (different framework)</w:t>
            </w:r>
          </w:p>
        </w:tc>
        <w:tc>
          <w:tcPr>
            <w:tcW w:type="dxa" w:w="4118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outside the band entirely</w:t>
            </w:r>
          </w:p>
        </w:tc>
      </w:tr>
      <w:tr>
        <w:trPr>
          <w:tblHeader w:val="false"/>
        </w:trPr>
        <w:tc>
          <w:tcPr>
            <w:tcW w:type="dxa" w:w="5242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ZIF-8 (different framework)</w:t>
            </w:r>
          </w:p>
        </w:tc>
        <w:tc>
          <w:tcPr>
            <w:tcW w:type="dxa" w:w="4118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outside the band entirely</w:t>
            </w:r>
          </w:p>
        </w:tc>
      </w:tr>
    </w:tbl>
    <w:p>
      <w:pPr>
        <w:spacing w:after="190"/>
      </w:pP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Members of the family land inside; unrelated frameworks land outside. The method separates what it should separate.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The claim that is NOT established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"All zirconium MOFs fall under this spectrum"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has not been demonstrated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, and the reason is simple: there is exactly one zirconium structure in this test set.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One structure cannot define a family band. What has been shown is that the machinery works, that it separates a real family from non-members, and that Zr separates from Cu and Zn on the box-growing measure.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Establishing the actual claim needs a few hundred MOFs grouped by metal — CoRE MOF or QMOF. Every module runs per-CIF, so scaling up is a loop over the same functions, not new research. Saying this plainly is stronger than overclaiming from n = 1.</w:t>
      </w:r>
    </w:p>
    <w:p>
      <w:r>
        <w:br w:type="page"/>
      </w:r>
    </w:p>
    <w:p>
      <w:pPr>
        <w:pStyle w:val="Heading1"/>
        <w:pBdr>
          <w:bottom w:val="single" w:color="1F5FA8" w:sz="10" w:space="6"/>
        </w:pBdr>
        <w:spacing w:after="170" w:before="360"/>
      </w:pPr>
      <w:r>
        <w:rPr>
          <w:rFonts w:ascii="Calibri" w:cs="Calibri" w:eastAsia="Calibri" w:hAnsi="Calibri"/>
          <w:b/>
          <w:bCs/>
          <w:color w:val="1F5FA8"/>
          <w:sz w:val="34"/>
          <w:szCs w:val="34"/>
        </w:rPr>
        <w:t xml:space="preserve">8 · The band across 77 real frameworks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The band work was scaled from 8 frameworks to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77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drawn from MOFX-DB, analysed on full atomic graphs and accompanied by published pore diameters (PLD, the pore-limiting diameter, and LCD, the largest cavity diameter). That was enough data to ask a question 8 structures could not answer.</w:t>
      </w: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Know what this dataset is before quoting anything from it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All 77 structures are named </w:t>
      </w:r>
      <w:r>
        <w:rPr>
          <w:rFonts w:ascii="Consolas" w:cs="Consolas" w:eastAsia="Consolas" w:hAnsi="Consolas"/>
          <w:color w:val="B03060"/>
          <w:sz w:val="18"/>
          <w:szCs w:val="18"/>
        </w:rPr>
        <w:t xml:space="preserve">hMOF-###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 They come from the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hypothetical MOF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database —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computer-generated candidate structures that have never been synthesised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. The notebook requested </w:t>
      </w:r>
      <w:r>
        <w:rPr>
          <w:rFonts w:ascii="Consolas" w:cs="Consolas" w:eastAsia="Consolas" w:hAnsi="Consolas"/>
          <w:color w:val="B03060"/>
          <w:sz w:val="18"/>
          <w:szCs w:val="18"/>
        </w:rPr>
        <w:t xml:space="preserve">CoREMOF 2019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, which </w:t>
      </w:r>
      <w:r>
        <w:rPr>
          <w:rFonts w:ascii="Calibri" w:cs="Calibri" w:eastAsia="Calibri" w:hAnsi="Calibri"/>
          <w:i/>
          <w:iCs/>
          <w:color w:val="4A3800"/>
          <w:sz w:val="20"/>
          <w:szCs w:val="20"/>
        </w:rPr>
        <w:t xml:space="preserve">is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experimental, but the server returned hMOF records and nothing verified it. A check was added so this cannot recur silently.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Consequence 1: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nothing computed on this set may be described as "experimental" or "real". It is a computational screening library.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Consequence 2: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every one of the 77 has a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Zn₄O node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, so this set is effectively single-metal. It cannot support any claim about behaviour across different metals — including the supervisor's zirconium question.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What it is genuinely good for: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one node type combined with many different linkers, which makes it a real same-node, varied-linker family — arguably a cleaner test of linker effects than a mixed-metal set would be.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8.1 · What a band is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A band is the range of spectrum width Δα that a group of frameworks shares, so a new framework can be tested for membership. Across the 77 the interquartile band is </w:t>
      </w: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Δα = 1.11 – 1.25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, with the asymmetry </w:t>
      </w:r>
      <w:r>
        <w:rPr>
          <w:rFonts w:ascii="Consolas" w:cs="Consolas" w:eastAsia="Consolas" w:hAnsi="Consolas"/>
          <w:color w:val="B03060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negative in every single framework — a consistent family signature.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8.2 · Does the band mean pore architecture? No.</w:t>
      </w:r>
    </w:p>
    <w:p>
      <w:pPr>
        <w:spacing w:after="130" w:before="0" w:line="300"/>
      </w:pPr>
      <w:r>
        <w:rPr>
          <w:rFonts w:ascii="Calibri" w:cs="Calibri" w:eastAsia="Calibri" w:hAnsi="Calibri"/>
          <w:color w:val="1A1A2E"/>
          <w:sz w:val="21"/>
          <w:szCs w:val="21"/>
        </w:rPr>
        <w:t xml:space="preserve">On 8 frameworks it looked as though it did: the narrow spectra belonged to frameworks with large open pores. On 77, with pore diameters available, that reading does not survive.</w:t>
      </w: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5429"/>
        <w:gridCol w:w="3931"/>
      </w:tblGrid>
      <w:tr>
        <w:trPr>
          <w:tblHeader/>
        </w:trPr>
        <w:tc>
          <w:tcPr>
            <w:tcW w:type="dxa" w:w="5429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3931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Correlation with Δα</w:t>
            </w:r>
          </w:p>
        </w:tc>
      </w:tr>
      <w:tr>
        <w:trPr>
          <w:tblHeader w:val="false"/>
        </w:trPr>
        <w:tc>
          <w:tcPr>
            <w:tcW w:type="dxa" w:w="5429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pore diameter (LCD), raw</w:t>
            </w:r>
          </w:p>
        </w:tc>
        <w:tc>
          <w:tcPr>
            <w:tcW w:type="dxa" w:w="3931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−0.497</w:t>
            </w:r>
          </w:p>
        </w:tc>
      </w:tr>
      <w:tr>
        <w:trPr>
          <w:tblHeader w:val="false"/>
        </w:trPr>
        <w:tc>
          <w:tcPr>
            <w:tcW w:type="dxa" w:w="5429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pore diameter (LCD), </w:t>
            </w: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controlling for graph size</w:t>
            </w:r>
          </w:p>
        </w:tc>
        <w:tc>
          <w:tcPr>
            <w:tcW w:type="dxa" w:w="3931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+0.101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— vanishes</w:t>
            </w:r>
          </w:p>
        </w:tc>
      </w:tr>
      <w:tr>
        <w:trPr>
          <w:tblHeader w:val="false"/>
        </w:trPr>
        <w:tc>
          <w:tcPr>
            <w:tcW w:type="dxa" w:w="5429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graph size, raw</w:t>
            </w:r>
          </w:p>
        </w:tc>
        <w:tc>
          <w:tcPr>
            <w:tcW w:type="dxa" w:w="3931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+0.730</w:t>
            </w:r>
          </w:p>
        </w:tc>
      </w:tr>
      <w:tr>
        <w:trPr>
          <w:tblHeader w:val="false"/>
        </w:trPr>
        <w:tc>
          <w:tcPr>
            <w:tcW w:type="dxa" w:w="5429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graph size, </w:t>
            </w: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controlling for pore diameter</w:t>
            </w:r>
          </w:p>
        </w:tc>
        <w:tc>
          <w:tcPr>
            <w:tcW w:type="dxa" w:w="3931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+0.621</w:t>
            </w: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 — survives</w:t>
            </w:r>
          </w:p>
        </w:tc>
      </w:tr>
    </w:tbl>
    <w:p>
      <w:pPr>
        <w:spacing w:after="190"/>
      </w:pPr>
    </w:p>
    <w:tbl>
      <w:tblPr>
        <w:tblW w:type="dxa" w:w="9360"/>
        <w:tblBorders>
          <w:top w:val="single" w:color="D6DCE5" w:sz="4"/>
          <w:left w:val="single" w:color="D6DCE5" w:sz="4"/>
          <w:bottom w:val="single" w:color="D6DCE5" w:sz="4"/>
          <w:right w:val="single" w:color="D6DCE5" w:sz="4"/>
          <w:insideH w:val="single" w:color="D6DCE5" w:sz="4"/>
          <w:insideV w:val="single" w:color="D6DCE5" w:sz="4"/>
        </w:tblBorders>
      </w:tblPr>
      <w:tblGrid>
        <w:gridCol w:w="5803"/>
        <w:gridCol w:w="3557"/>
      </w:tblGrid>
      <w:tr>
        <w:trPr>
          <w:tblHeader/>
        </w:trPr>
        <w:tc>
          <w:tcPr>
            <w:tcW w:type="dxa" w:w="5803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Linear model of Δα</w:t>
            </w:r>
          </w:p>
        </w:tc>
        <w:tc>
          <w:tcPr>
            <w:tcW w:type="dxa" w:w="3557"/>
            <w:shd w:fill="1F5FA8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R²</w:t>
            </w:r>
          </w:p>
        </w:tc>
      </w:tr>
      <w:tr>
        <w:trPr>
          <w:tblHeader w:val="false"/>
        </w:trPr>
        <w:tc>
          <w:tcPr>
            <w:tcW w:type="dxa" w:w="580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graph size alone</w:t>
            </w:r>
          </w:p>
        </w:tc>
        <w:tc>
          <w:tcPr>
            <w:tcW w:type="dxa" w:w="355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0.533</w:t>
            </w:r>
          </w:p>
        </w:tc>
      </w:tr>
      <w:tr>
        <w:trPr>
          <w:tblHeader w:val="false"/>
        </w:trPr>
        <w:tc>
          <w:tcPr>
            <w:tcW w:type="dxa" w:w="5803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pore diameter alone</w:t>
            </w:r>
          </w:p>
        </w:tc>
        <w:tc>
          <w:tcPr>
            <w:tcW w:type="dxa" w:w="355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0.247</w:t>
            </w:r>
          </w:p>
        </w:tc>
      </w:tr>
      <w:tr>
        <w:trPr>
          <w:tblHeader w:val="false"/>
        </w:trPr>
        <w:tc>
          <w:tcPr>
            <w:tcW w:type="dxa" w:w="5803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both together</w:t>
            </w:r>
          </w:p>
        </w:tc>
        <w:tc>
          <w:tcPr>
            <w:tcW w:type="dxa" w:w="3557"/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2E"/>
                <w:sz w:val="19"/>
                <w:szCs w:val="19"/>
              </w:rPr>
              <w:t xml:space="preserve">0.538</w:t>
            </w:r>
          </w:p>
        </w:tc>
      </w:tr>
      <w:tr>
        <w:trPr>
          <w:tblHeader w:val="false"/>
        </w:trPr>
        <w:tc>
          <w:tcPr>
            <w:tcW w:type="dxa" w:w="5803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what pore diameter adds over size</w:t>
            </w:r>
          </w:p>
        </w:tc>
        <w:tc>
          <w:tcPr>
            <w:tcW w:type="dxa" w:w="3557"/>
            <w:shd w:fill="F6F8FB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19"/>
                <w:szCs w:val="19"/>
              </w:rPr>
              <w:t xml:space="preserve">+0.005</w:t>
            </w:r>
          </w:p>
        </w:tc>
      </w:tr>
    </w:tbl>
    <w:p>
      <w:pPr>
        <w:spacing w:after="190"/>
      </w:pPr>
    </w:p>
    <w:p>
      <w:pPr>
        <w:pBdr>
          <w:left w:val="single" w:color="E0A030" w:sz="18" w:space="8"/>
        </w:pBdr>
        <w:shd w:fill="FFF6E5" w:val="clear"/>
        <w:spacing w:after="0" w:before="140"/>
        <w:ind w:left="144"/>
      </w:pPr>
      <w:r>
        <w:rPr>
          <w:rFonts w:ascii="Calibri" w:cs="Calibri" w:eastAsia="Calibri" w:hAnsi="Calibri"/>
          <w:b/>
          <w:bCs/>
          <w:color w:val="7A5200"/>
          <w:sz w:val="20"/>
          <w:szCs w:val="20"/>
        </w:rPr>
        <w:t xml:space="preserve">Retracted: "the band groups MOFs by pore architecture"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The partial correlation collapses from −0.50 to +0.10 once graph size is held fixed, while graph size survives holding pore size fixed. Adding pore diameter to a model that already contains graph size buys about 0.005 of R².</w:t>
      </w:r>
    </w:p>
    <w:p>
      <w:pPr>
        <w:pBdr>
          <w:left w:val="single" w:color="E0A030" w:sz="18" w:space="8"/>
        </w:pBdr>
        <w:shd w:fill="FFF6E5" w:val="clear"/>
        <w:spacing w:after="60" w:line="290"/>
        <w:ind w:left="144"/>
      </w:pP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Δα is tracking how many atoms are in the supercell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, and supercell size is set by </w:t>
      </w:r>
      <w:r>
        <w:rPr>
          <w:rFonts w:ascii="Consolas" w:cs="Consolas" w:eastAsia="Consolas" w:hAnsi="Consolas"/>
          <w:color w:val="B03060"/>
          <w:sz w:val="18"/>
          <w:szCs w:val="18"/>
        </w:rPr>
        <w:t xml:space="preserve">MIN_CELL_LENGTH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and the </w:t>
      </w:r>
      <w:r>
        <w:rPr>
          <w:rFonts w:ascii="Consolas" w:cs="Consolas" w:eastAsia="Consolas" w:hAnsi="Consolas"/>
          <w:color w:val="B03060"/>
          <w:sz w:val="18"/>
          <w:szCs w:val="18"/>
        </w:rPr>
        <w:t xml:space="preserve">MAX_ATOMS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cap — computational parameters, not chemistry. This is the finite-size dependence flagged earlier, now measured across a whole dataset instead of three structures.</w:t>
      </w:r>
    </w:p>
    <w:p>
      <w:pPr>
        <w:pBdr>
          <w:left w:val="single" w:color="E0A030" w:sz="18" w:space="8"/>
        </w:pBdr>
        <w:shd w:fill="FFF6E5" w:val="clear"/>
        <w:spacing w:after="170" w:line="290"/>
        <w:ind w:left="144"/>
      </w:pPr>
      <w:r>
        <w:rPr>
          <w:rFonts w:ascii="Calibri" w:cs="Calibri" w:eastAsia="Calibri" w:hAnsi="Calibri"/>
          <w:color w:val="4A3800"/>
          <w:sz w:val="20"/>
          <w:szCs w:val="20"/>
        </w:rPr>
        <w:t xml:space="preserve">Two routes make the question answerable: compare only frameworks of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comparable graph size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, or </w:t>
      </w:r>
      <w:r>
        <w:rPr>
          <w:rFonts w:ascii="Calibri" w:cs="Calibri" w:eastAsia="Calibri" w:hAnsi="Calibri"/>
          <w:b/>
          <w:bCs/>
          <w:color w:val="4A3800"/>
          <w:sz w:val="20"/>
          <w:szCs w:val="20"/>
        </w:rPr>
        <w:t xml:space="preserve">normalise the fit window</w:t>
      </w:r>
      <w:r>
        <w:rPr>
          <w:rFonts w:ascii="Calibri" w:cs="Calibri" w:eastAsia="Calibri" w:hAnsi="Calibri"/>
          <w:color w:val="4A3800"/>
          <w:sz w:val="20"/>
          <w:szCs w:val="20"/>
        </w:rPr>
        <w:t xml:space="preserve"> per structure so Δα stops growing with the graph, then re-test the correlation. Reporting the confound is the result; a band built on an uncontrolled size effect would not survive the first person who checked it.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8.3 · What still stands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The method is now implemented correctly.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τ(q) matches the paper, the spectrum is a proper inverted parabola, and α₀, the asymmetry A and D(q) are meaningful quantities for the first time.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The band exists as a descriptive range.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What it lacks is a demonstrated physical meaning.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Δα is not a stability or gas-uptake predictor.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The graph is unweighted — it does not know which element an atom is, let alone its binding energy.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alibri" w:cs="Calibri" w:eastAsia="Calibri" w:hAnsi="Calibri"/>
          <w:b/>
          <w:bCs/>
          <w:color w:val="1A1A2E"/>
          <w:sz w:val="21"/>
          <w:szCs w:val="21"/>
        </w:rPr>
        <w:t xml:space="preserve">The influential-node degeneracy still applies</w:t>
      </w:r>
      <w:r>
        <w:rPr>
          <w:rFonts w:ascii="Calibri" w:cs="Calibri" w:eastAsia="Calibri" w:hAnsi="Calibri"/>
          <w:color w:val="1A1A2E"/>
          <w:sz w:val="21"/>
          <w:szCs w:val="21"/>
        </w:rPr>
        <w:t xml:space="preserve"> (Section 3.2): in a defect-free crystal the top-k selection is a tie, so iNMFA widths carry an implementation sensitivity on top of everything above.</w:t>
      </w:r>
    </w:p>
    <w:sectPr>
      <w:footerReference w:type="default" r:id="rId7"/>
      <w:pgSz w:w="11906" w:h="16838" w:orient="portrait"/>
      <w:pgMar w:top="1200" w:right="1260" w:bottom="110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A6E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2E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Network and Spectrum</dc:title>
  <dc:creator>Final Year Project</dc:creator>
  <cp:lastModifiedBy>Un-named</cp:lastModifiedBy>
  <cp:revision>1</cp:revision>
  <dcterms:created xsi:type="dcterms:W3CDTF">2026-09-01T17:04:51.306Z</dcterms:created>
  <dcterms:modified xsi:type="dcterms:W3CDTF">2026-09-01T17:04:51.306Z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