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 ± 0.06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 ± 0.05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 ± 0.05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 ± 0.06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These widths are approximate, and the reason is the tie degeneracy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In a perfect crystal there are only two distinct degrees, so "the top 30% by degree"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 tie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Which blocks get selected depends on the order the blocks happen to be labelled in — and two implementations that build the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same graph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(identical edge sets, verified) can label it differently and report widths differing by more than 0.07.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the same degeneracy that makes influence unrankable (Section 3.2), reappearing in the spectrum.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widths from a defect-free crystal should therefore be quoted with an error bar, not to three decimals.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things remove it, and both are used here: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box-growing NMFA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Section 5.3 is deterministic, so there is no covering randomness and no selection tie to begin with;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defects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break the symmetry, after which the selection is well defined. The 8-framework band study of Section 8 is also unaffected, because it runs on full atomic graphs where degrees genuinely vary.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Two bugs in the estimator, both found by checking against the paper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A — the spectrum had the wrong shape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multifractal spectrum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must be 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inverted parabola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whose peak sits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D₀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the fractal dimension. Ours sloped downhill instead — which is a mathematics problem, not a property of the materials.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defines the mass exponent as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ratio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τ(q) = ln 𝒫_q(r) / ln(r/r_N)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Over several radii that is a straight-line fit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through the origin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because the relation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𝒫_q ~ (r/r_N)^τ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carries no prefactor. Our code used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free-intercept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least-squares slope.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difference is fatal: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every term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pr_i⁰ = 1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𝒫₀ = |I|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count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influential nodes;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count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identical at every radius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a free-intercept fit sees a flat line;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flat line has slope zero,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therefore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0·α − 0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peak is pinned to zero and the parabola vanishes. Measured across 77 frameworks: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τ(0) = 0 and f(0) = 0 in every one, and not one peaked at q = 0.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With the paper's definition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ln(r/r_N)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ln|I| / negative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−τ(0) &gt;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peak returns.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995"/>
        <w:gridCol w:w="1404"/>
        <w:gridCol w:w="1404"/>
        <w:gridCol w:w="1404"/>
        <w:gridCol w:w="2153"/>
      </w:tblGrid>
      <w:tr>
        <w:trPr>
          <w:tblHeader/>
        </w:trPr>
        <w:tc>
          <w:tcPr>
            <w:tcW w:type="dxa" w:w="299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 definition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peak at</w:t>
            </w:r>
          </w:p>
        </w:tc>
        <w:tc>
          <w:tcPr>
            <w:tcW w:type="dxa" w:w="215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inverted parabola?</w:t>
            </w:r>
          </w:p>
        </w:tc>
      </w:tr>
      <w:tr>
        <w:trPr>
          <w:tblHeader w:val="false"/>
        </w:trPr>
        <w:tc>
          <w:tcPr>
            <w:tcW w:type="dxa" w:w="29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free-intercept slope (ours)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q = −4</w:t>
            </w:r>
          </w:p>
        </w:tc>
        <w:tc>
          <w:tcPr>
            <w:tcW w:type="dxa" w:w="215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9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paper: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𝒫_q / ln(r/r_N)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q = 0</w:t>
            </w:r>
          </w:p>
        </w:tc>
        <w:tc>
          <w:tcPr>
            <w:tcW w:type="dxa" w:w="215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Verified on a network built from scratch with identical data and only the τ definition swapped, then re-verified in both implementations: Python and the browser engine now agree at τ(0) = −2.6551 on HKUST-1. Selectable as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tau_mode="paper"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(the default) or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"slope"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reproduce the old behaviour.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B — the averaging order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77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was scaled from 8 frameworks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77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all experimentally reported, analysed on full atomic graphs and accompanied by published pore diameters (PLD, the pore-limiting diameter, and LCD, the largest cavity diameter). That was enough data to ask a question 8 structures could not answer.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What a band is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band is the range of spectrum width Δα that a group of frameworks shares, so a new framework can be tested for membership. Across the 77 the interquartile band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= 0.36 – 0.65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Does the band mean pore architecture? No.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8 frameworks it looked as though it did: the narrow spectra belonged to frameworks with large open pores. On 77, with pore diameters available, that reading does not survive.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429"/>
        <w:gridCol w:w="3931"/>
      </w:tblGrid>
      <w:tr>
        <w:trPr>
          <w:tblHeader/>
        </w:trPr>
        <w:tc>
          <w:tcPr>
            <w:tcW w:type="dxa" w:w="542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Correlation with Δα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−0.330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graph size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+0.057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vanishes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+0.487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pore diameter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+0.384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survives</w:t>
            </w:r>
          </w:p>
        </w:tc>
      </w:tr>
    </w:tbl>
    <w:p>
      <w:pPr>
        <w:spacing w:after="190"/>
      </w:pP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803"/>
        <w:gridCol w:w="3557"/>
      </w:tblGrid>
      <w:tr>
        <w:trPr>
          <w:tblHeader/>
        </w:trPr>
        <w:tc>
          <w:tcPr>
            <w:tcW w:type="dxa" w:w="580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Linear model of Δα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R²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 alone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0.237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alone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0.109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both together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0.240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what pore diameter adds over size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+0.002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Retracted: "the band groups MOFs by pore architecture"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partial correlation collapses to roughly zero once graph size is held fixed, while graph size survives holding pore size fixed. Adding pore diameter to a model that already contains graph size buys about 0.002 of R².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tracking how many atoms are in the supercell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supercell size is set by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MIN_CELL_LENGTH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and the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MAX_ATOMS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cap — computational parameters, not chemistry. This is the finite-size dependence flagged earlier, now measured across a whole dataset instead of three structures.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routes make the question answerable: compare only frameworks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comparable graph size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or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normalise the fit window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per structure so Δα stops growing with the graph, then re-test the correlation. Reporting the confound is the result; a band built on an uncontrolled size effect would not survive the first person who checked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still stands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method is now implemented correctly.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τ(q) matches the paper, the spectrum is a proper inverted parabola, and α₀, the asymmetry A and D(q) are meaningful quantities for the first time.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band exists as a descriptive range.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What it lacks is a demonstrated physical meaning.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is not a stability or gas-uptake predictor.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graph is unweighted — it does not know which element an atom is, let alone its binding energy.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influential-node degeneracy still applies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(Section 3.2): in a defect-free crystal the top-k selection is a tie, so iNMFA widths carry an implementation sensitivity on top of everything above.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2026-09-01T05:45:02.121Z</dcterms:created>
  <dcterms:modified xsi:type="dcterms:W3CDTF">2026-09-01T05:45:02.123Z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