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1F5FA8"/>
          <w:spacing w:val="70"/>
          <w:sz w:val="19"/>
          <w:szCs w:val="19"/>
        </w:rPr>
        <w:t xml:space="preserve">FINAL YEAR PROJECT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Network and Spectrum</w:t>
      </w:r>
    </w:p>
    <w:p>
      <w:pPr>
        <w:pBdr>
          <w:bottom w:val="single" w:color="1F5FA8" w:sz="12" w:space="10"/>
        </w:pBdr>
        <w:spacing w:after="260"/>
      </w:pPr>
      <w:r>
        <w:rPr>
          <w:rFonts w:ascii="Calibri" w:cs="Calibri" w:eastAsia="Calibri" w:hAnsi="Calibri"/>
          <w:color w:val="5A5A6E"/>
          <w:sz w:val="26"/>
          <w:szCs w:val="26"/>
        </w:rPr>
        <w:t xml:space="preserve">Influential nodes, the Laplacian, and the multifractal spectrum</w:t>
      </w:r>
    </w:p>
    <w:p>
      <w:pPr>
        <w:spacing w:after="900" w:before="0" w:line="300"/>
      </w:pPr>
      <w:r>
        <w:rPr>
          <w:rFonts w:ascii="Calibri" w:cs="Calibri" w:eastAsia="Calibri" w:hAnsi="Calibri"/>
          <w:color w:val="5A5A6E"/>
          <w:sz w:val="21"/>
          <w:szCs w:val="21"/>
        </w:rPr>
        <w:t xml:space="preserve">The theory behind the extension: how the periodic block graph is built, why influence is undefined in a perfect crystal, what the multifractal spectrum measures, and exactly how far the zirconium-family claim can honestly be taken.</w:t>
      </w:r>
    </w:p>
    <w:p>
      <w:pPr>
        <w:spacing w:after="40" w:before="0" w:line="30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Metal–organic framework building-block decomposition</w:t>
      </w:r>
    </w:p>
    <w:p>
      <w:pPr>
        <w:spacing w:after="40" w:before="0" w:line="30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Correcting the metal-oxo algorithm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5FA8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1 · The brief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extension to the project was set as: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highlight the influential nodes, find the spectrum, and deduce something like "all zirconium-based MOFs fall under this spectrum"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That is three separate tasks, and each one turned out to have a specific technical obstacle that had to be cleared before it could be answered. This document covers the theory behind all three, what was found, and — for the third — exactly what was and was not established.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2527"/>
        <w:gridCol w:w="3557"/>
        <w:gridCol w:w="3276"/>
      </w:tblGrid>
      <w:tr>
        <w:trPr>
          <w:tblHeader/>
        </w:trPr>
        <w:tc>
          <w:tcPr>
            <w:tcW w:type="dxa" w:w="2527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brief</w:t>
            </w:r>
          </w:p>
        </w:tc>
        <w:tc>
          <w:tcPr>
            <w:tcW w:type="dxa" w:w="3557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obstacle</w:t>
            </w:r>
          </w:p>
        </w:tc>
        <w:tc>
          <w:tcPr>
            <w:tcW w:type="dxa" w:w="3276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outcome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Highlight influential nodes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graph must be periodic, or the degrees are wrong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Done — and the answer is more interesting than expected</w:t>
            </w:r>
          </w:p>
        </w:tc>
      </w:tr>
      <w:tr>
        <w:trPr>
          <w:tblHeader w:val="false"/>
        </w:trPr>
        <w:tc>
          <w:tcPr>
            <w:tcW w:type="dxa" w:w="252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Find the spectrum</w:t>
            </w:r>
          </w:p>
        </w:tc>
        <w:tc>
          <w:tcPr>
            <w:tcW w:type="dxa" w:w="355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original computation ran on a graph with zero edges</w:t>
            </w:r>
          </w:p>
        </w:tc>
        <w:tc>
          <w:tcPr>
            <w:tcW w:type="dxa" w:w="327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Fixed; the spectrum is now defined for every structure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Deduce a family band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One Zr structure cannot establish a family claim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Mechanism demonstrated; the claim itself needs more data</w:t>
            </w:r>
          </w:p>
        </w:tc>
      </w:tr>
    </w:tbl>
    <w:p>
      <w:pPr>
        <w:spacing w:after="190"/>
      </w:pP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2 · The periodic block graph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Everything in this document is computed on a graph whose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vertices are building blocks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whose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edges are the connections between them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Building that graph correctly is not optional detail — it is where the analysis is most easily invalidated.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· The labelled quotient graph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crystal is infinite, so its block graph is infinite too. The standard finite representation is the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labelled quotient graph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one vertex per block in the unit cell, and each edge labelled with the lattice translation it crosses.</w:t>
      </w:r>
    </w:p>
    <w:p>
      <w:pPr>
        <w:shd w:fill="F2F4F8" w:val="clear"/>
        <w:spacing w:after="0" w:before="6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edge = (block_A, block_B, t)        # t = (tx, ty, tz), integer translation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# t = (0, 0, 0)   both blocks are in the same unit cell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# t = (1, 0, 0)   block B is in the cell one step along a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# t = (0,-1, 1)   and so on</w:t>
      </w:r>
    </w:p>
    <w:p>
      <w:pPr>
        <w:spacing w:after="150" w:before="50"/>
      </w:pPr>
      <w:r>
        <w:rPr>
          <w:rFonts w:ascii="Calibri" w:cs="Calibri" w:eastAsia="Calibri" w:hAnsi="Calibri"/>
          <w:i/>
          <w:iCs/>
          <w:color w:val="5A5A6E"/>
          <w:sz w:val="16"/>
          <w:szCs w:val="16"/>
        </w:rPr>
        <w:t xml:space="preserve">The translation label is what makes a finite graph represent an infinite crystal exactly.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Two blocks can be connected by several edges with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different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translation labels, and those are genuinely different connections in the material. Discard the labels and they collapse into one, which is precisely how coordination numbers come out too low.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The measurement that proves this matters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UiO-66's Zr₆ cluster is 12-connected — this is published and not in dispute.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Built as a labelled quotient graph: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12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Built without translation labels: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6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Exactly half the connections vanish, and the reported structure is not UiO-66.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· Validation against published crystallography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graph construction is checked against known answers before anything is computed on it. All four structures pass: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1591"/>
        <w:gridCol w:w="1778"/>
        <w:gridCol w:w="1778"/>
        <w:gridCol w:w="1498"/>
        <w:gridCol w:w="1030"/>
        <w:gridCol w:w="1685"/>
      </w:tblGrid>
      <w:tr>
        <w:trPr>
          <w:tblHeader/>
        </w:trPr>
        <w:tc>
          <w:tcPr>
            <w:tcW w:type="dxa" w:w="1591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77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Node coordination</w:t>
            </w:r>
          </w:p>
        </w:tc>
        <w:tc>
          <w:tcPr>
            <w:tcW w:type="dxa" w:w="177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Linker coordination</w:t>
            </w:r>
          </w:p>
        </w:tc>
        <w:tc>
          <w:tcPr>
            <w:tcW w:type="dxa" w:w="149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Published</w:t>
            </w:r>
          </w:p>
        </w:tc>
        <w:tc>
          <w:tcPr>
            <w:tcW w:type="dxa" w:w="103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  <w:tc>
          <w:tcPr>
            <w:tcW w:type="dxa" w:w="1685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HKUST-1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(4, 3)</w:t>
            </w:r>
          </w:p>
        </w:tc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tbo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9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MOF-5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(6, 2)</w:t>
            </w:r>
          </w:p>
        </w:tc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pcu</w:t>
            </w:r>
          </w:p>
        </w:tc>
        <w:tc>
          <w:tcPr>
            <w:tcW w:type="dxa" w:w="1685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ZIF-8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(4, 2)</w:t>
            </w:r>
          </w:p>
        </w:tc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sod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9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UiO-66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(12, 2)</w:t>
            </w:r>
          </w:p>
        </w:tc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fcu</w:t>
            </w:r>
          </w:p>
        </w:tc>
        <w:tc>
          <w:tcPr>
            <w:tcW w:type="dxa" w:w="1685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is the anchor for the whole extension. Any spectrum computed on a graph that fails this table is describing a material that does not exist.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3 · Influential nodes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· The three measures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Degree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how many other blocks a block connects to. In this graph the degree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is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 coordination number, which is why it is the most meaningful of the three.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Eigenvector centrality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a block is important if its neighbours are important. The leading eigenvector of the adjacency matrix, computed here by power iteration.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Betweenness centrality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how many shortest paths pass through a block. Computed with Brandes' algorithm.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3.2 · The finding: influence cannot be ranked in a perfect crystal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brief asked for the influential nodes to be highlighted, with the natural implication of a top-k list. Running the measures gives a result that makes such a list meaningless: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Every one of the four structures has exactly TWO distinct degree values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One value for all nodes, one value for all linkers. Nothing else.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This is not a defect in the calculation — it is what a perfect crystal </w:t>
      </w:r>
      <w:r>
        <w:rPr>
          <w:rFonts w:ascii="Calibri" w:cs="Calibri" w:eastAsia="Calibri" w:hAnsi="Calibri"/>
          <w:i/>
          <w:iCs/>
          <w:color w:val="4A3800"/>
          <w:sz w:val="20"/>
          <w:szCs w:val="20"/>
        </w:rPr>
        <w:t xml:space="preserve">is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Every metal cluster in HKUST-1 is related to every other by a symmetry operation, so they are genuinely, exactly identical. There is no "most influential" cluster because they cannot be told apart.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A top-12 list from such a graph is not a ranking. It is the first twelve entries of a tie, and its content depends entirely on the order the blocks happened to be indexed in.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is a real and citable finding rather than a negative result. It says the question "which node is most influential?" is ill-posed for a defect-free framework, and it explains why an influence ranking computed on one is unstable. The degree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value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remains the most useful number in the analysis — it is the coordination number, and it determines the topology — but the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ranking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does not exist.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3.3 · A star graph is the diagnostic signature of a broken construction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block graph in which one vertex has very high degree and essentially every other has degree 1 is not a MOF. It is what happens when periodic connections are dropped: the structure fragments, and the fragments attach to whatever single block survived. If the degree distribution has one huge value and a mass of 1s, the graph construction should be checked before the result is interpreted.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4 · The Laplacian spectrum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Laplacian is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L = D − 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where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diagonal matrix of degrees and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adjacency matrix. Its eigenvalues describe how well connected the network is.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B03060"/>
          <w:sz w:val="19"/>
          <w:szCs w:val="19"/>
        </w:rPr>
        <w:t xml:space="preserve">λ₁ = 0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always. Its multiplicity is the number of disconnected components — so a second zero eigenvalue means the framework has fallen apart, which is a useful automatic check.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`λ₂`, the algebraic connectivity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is the informative one. It measures how hard the network is to cut in two. A high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λ₂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means a robust, well-tied framework; a low one means the structure has a weak point.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largest eigenvalue is bounded by twice the maximum degree, which gives a cheap sanity check on the whole computation.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4.1 · Defects make influence measurable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If a perfect crystal has no distinguishable nodes, the way to recover a meaningful notion of influence is to break the symmetry — which is also what real materials do. Missing-linker defects are well documented in UiO-66 and are central to how MOFs are tuned in practice.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Removing a single linker from HKUST-1 and recomputing: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2434"/>
        <w:gridCol w:w="1685"/>
        <w:gridCol w:w="1872"/>
        <w:gridCol w:w="3369"/>
      </w:tblGrid>
      <w:tr>
        <w:trPr>
          <w:tblHeader/>
        </w:trPr>
        <w:tc>
          <w:tcPr>
            <w:tcW w:type="dxa" w:w="2434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685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Perfect crystal</w:t>
            </w:r>
          </w:p>
        </w:tc>
        <w:tc>
          <w:tcPr>
            <w:tcW w:type="dxa" w:w="1872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One linker removed</w:t>
            </w:r>
          </w:p>
        </w:tc>
        <w:tc>
          <w:tcPr>
            <w:tcW w:type="dxa" w:w="3369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Distinct centrality values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3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Symmetry is broken; blocks become distinguishable</w:t>
            </w:r>
          </w:p>
        </w:tc>
      </w:tr>
      <w:tr>
        <w:trPr>
          <w:tblHeader w:val="false"/>
        </w:trPr>
        <w:tc>
          <w:tcPr>
            <w:tcW w:type="dxa" w:w="2434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Algebraic connectivity λ₂</w:t>
            </w:r>
          </w:p>
        </w:tc>
        <w:tc>
          <w:tcPr>
            <w:tcW w:type="dxa" w:w="1685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1.44</w:t>
            </w:r>
          </w:p>
        </w:tc>
        <w:tc>
          <w:tcPr>
            <w:tcW w:type="dxa" w:w="1872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1.19</w:t>
            </w:r>
          </w:p>
        </w:tc>
        <w:tc>
          <w:tcPr>
            <w:tcW w:type="dxa" w:w="3369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framework is measurably weaker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Influence ranking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undefined (all tied)</w:t>
            </w:r>
          </w:p>
        </w:tc>
        <w:tc>
          <w:tcPr>
            <w:tcW w:type="dxa" w:w="187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well defined</w:t>
            </w:r>
          </w:p>
        </w:tc>
        <w:tc>
          <w:tcPr>
            <w:tcW w:type="dxa" w:w="336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brief's question now has an answer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 the honest answer to "highlight the influential nodes" is: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 a perfect crystal there are none to highlight, and that is the finding; introduce a defect and influence becomes both defined and quantitative.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 17% drop in λ₂ measures how much that single missing linker weakened the material.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5 · The multifractal spectrum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method comes from Xiao et al.,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"Deciphering the generating rules and functionalities of complex networks"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Scientific Reports 11, 22964 (2021)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It characterises a network by how mass grows around its vertices, and produces a curve rather than a single number.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· The mathematics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1030"/>
        <w:gridCol w:w="3370"/>
        <w:gridCol w:w="4960"/>
      </w:tblGrid>
      <w:tr>
        <w:trPr>
          <w:tblHeader/>
        </w:trPr>
        <w:tc>
          <w:tcPr>
            <w:tcW w:type="dxa" w:w="103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337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96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 physically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M_i(r)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number of vertices within distance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of vertex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i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how much network is reachable in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steps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u_i(r)</w:t>
            </w:r>
          </w:p>
        </w:tc>
        <w:tc>
          <w:tcPr>
            <w:tcW w:type="dxa" w:w="337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M_i(r) / M</w:t>
            </w:r>
          </w:p>
        </w:tc>
        <w:tc>
          <w:tcPr>
            <w:tcW w:type="dxa" w:w="496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normalised mass around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i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— a probability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U_q(r)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Σ_i u_i(r)^q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partition function;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q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reweights dense vs sparse regions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τ(q)</w:t>
            </w:r>
          </w:p>
        </w:tc>
        <w:tc>
          <w:tcPr>
            <w:tcW w:type="dxa" w:w="337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exponent in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U_q(r) ~ (r/d)^τ(q)</w:t>
            </w:r>
          </w:p>
        </w:tc>
        <w:tc>
          <w:tcPr>
            <w:tcW w:type="dxa" w:w="496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mass exponent, from a log–log fit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dτ/dq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local scaling exponent — the local dimension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f(α)</w:t>
            </w:r>
          </w:p>
        </w:tc>
        <w:tc>
          <w:tcPr>
            <w:tcW w:type="dxa" w:w="337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qα − τ</w:t>
            </w:r>
          </w:p>
        </w:tc>
        <w:tc>
          <w:tcPr>
            <w:tcW w:type="dxa" w:w="496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how much of the network shares that local dimension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D(q)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τ(q)/q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generalised fractal dimension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α₀</w:t>
            </w:r>
          </w:p>
        </w:tc>
        <w:tc>
          <w:tcPr>
            <w:tcW w:type="dxa" w:w="337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where </w:t>
            </w: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f(α)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is maximum</w:t>
            </w:r>
          </w:p>
        </w:tc>
        <w:tc>
          <w:tcPr>
            <w:tcW w:type="dxa" w:w="496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dominant local dimension of the network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A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ln[(α₀−α_min)/(α_max−α₀)]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asymmetry — which side of the spectrum dominates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NFD</w:t>
            </w:r>
          </w:p>
        </w:tc>
        <w:tc>
          <w:tcPr>
            <w:tcW w:type="dxa" w:w="337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node fractal dimension</w:t>
            </w:r>
          </w:p>
        </w:tc>
        <w:tc>
          <w:tcPr>
            <w:tcW w:type="dxa" w:w="496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single-number summary of growth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role of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q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the key idea. At large positive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q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 sum is dominated by vertices with the largest mass around them; at large negative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q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by the sparsest. Sweeping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q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therefore probes different parts of the network, and the resulting spread of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α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says whether the network scales uniformly (a single point — a simple fractal) or unevenly (a spread-out curve — a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multi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fractal).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· Box-growing, not box-covering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paper uses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box growing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for each vertex, grow a ball of radius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count what it contains. An alternative in the literature is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box covering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which tiles the whole network with boxes and is randomised — different runs give different answers.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Why the distinction mattered here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The first implementation used box covering. With the small number of trials typically used, the same structure gave a noticeably different spectrum on every run — measured spread in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α_max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of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0.171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for HKUST-1 across random seeds. Any band built from numbers that unstable is meaningless.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Raising the trial count to 40 cuts that spread to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0.006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, but at real cost in runtime.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Box growing, the method the paper actually specifies, is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deterministic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: the measured spread across seeds is exactly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0.00e+00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Switching to the published method removed the reproducibility problem entirely rather than managing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· Results — the published NMFA method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2340"/>
        <w:gridCol w:w="1498"/>
        <w:gridCol w:w="3276"/>
        <w:gridCol w:w="2246"/>
      </w:tblGrid>
      <w:tr>
        <w:trPr>
          <w:tblHeader/>
        </w:trPr>
        <w:tc>
          <w:tcPr>
            <w:tcW w:type="dxa" w:w="234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49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Metal</w:t>
            </w:r>
          </w:p>
        </w:tc>
        <w:tc>
          <w:tcPr>
            <w:tcW w:type="dxa" w:w="3276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Node fractal dimension</w:t>
            </w:r>
          </w:p>
        </w:tc>
        <w:tc>
          <w:tcPr>
            <w:tcW w:type="dxa" w:w="2246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α₀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HKUST-1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Cu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1.68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1.63</w:t>
            </w:r>
          </w:p>
        </w:tc>
      </w:tr>
      <w:tr>
        <w:trPr>
          <w:tblHeader w:val="false"/>
        </w:trPr>
        <w:tc>
          <w:tcPr>
            <w:tcW w:type="dxa" w:w="234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MOF-5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Zn</w:t>
            </w:r>
          </w:p>
        </w:tc>
        <w:tc>
          <w:tcPr>
            <w:tcW w:type="dxa" w:w="327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1.81</w:t>
            </w:r>
          </w:p>
        </w:tc>
        <w:tc>
          <w:tcPr>
            <w:tcW w:type="dxa" w:w="224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1.61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ZIF-8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Zn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1.93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1.82</w:t>
            </w:r>
          </w:p>
        </w:tc>
      </w:tr>
      <w:tr>
        <w:trPr>
          <w:tblHeader w:val="false"/>
        </w:trPr>
        <w:tc>
          <w:tcPr>
            <w:tcW w:type="dxa" w:w="234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UiO-66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Zr</w:t>
            </w:r>
          </w:p>
        </w:tc>
        <w:tc>
          <w:tcPr>
            <w:tcW w:type="dxa" w:w="327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2.30</w:t>
            </w:r>
          </w:p>
        </w:tc>
        <w:tc>
          <w:tcPr>
            <w:tcW w:type="dxa" w:w="224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1.67</w:t>
            </w:r>
          </w:p>
        </w:tc>
      </w:tr>
    </w:tbl>
    <w:p>
      <w:pPr>
        <w:spacing w:after="19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5.4 · Results — iNMFA over the influential blocks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1778"/>
        <w:gridCol w:w="1030"/>
        <w:gridCol w:w="1217"/>
        <w:gridCol w:w="1591"/>
        <w:gridCol w:w="2246"/>
        <w:gridCol w:w="1498"/>
      </w:tblGrid>
      <w:tr>
        <w:trPr>
          <w:tblHeader/>
        </w:trPr>
        <w:tc>
          <w:tcPr>
            <w:tcW w:type="dxa" w:w="177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03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Metal</w:t>
            </w:r>
          </w:p>
        </w:tc>
        <w:tc>
          <w:tcPr>
            <w:tcW w:type="dxa" w:w="1217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591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Influential</w:t>
            </w:r>
          </w:p>
        </w:tc>
        <w:tc>
          <w:tcPr>
            <w:tcW w:type="dxa" w:w="2246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α range</w:t>
            </w:r>
          </w:p>
        </w:tc>
        <w:tc>
          <w:tcPr>
            <w:tcW w:type="dxa" w:w="149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</w:tr>
      <w:tr>
        <w:trPr>
          <w:tblHeader w:val="false"/>
        </w:trPr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HKUST-1</w:t>
            </w:r>
          </w:p>
        </w:tc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Cu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112</w:t>
            </w:r>
          </w:p>
        </w:tc>
        <w:tc>
          <w:tcPr>
            <w:tcW w:type="dxa" w:w="159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34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1.84 – 1.86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0.03</w:t>
            </w:r>
          </w:p>
        </w:tc>
      </w:tr>
      <w:tr>
        <w:trPr>
          <w:tblHeader w:val="false"/>
        </w:trPr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MOF-5</w:t>
            </w:r>
          </w:p>
        </w:tc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Zn</w:t>
            </w:r>
          </w:p>
        </w:tc>
        <w:tc>
          <w:tcPr>
            <w:tcW w:type="dxa" w:w="121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256</w:t>
            </w:r>
          </w:p>
        </w:tc>
        <w:tc>
          <w:tcPr>
            <w:tcW w:type="dxa" w:w="159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77</w:t>
            </w:r>
          </w:p>
        </w:tc>
        <w:tc>
          <w:tcPr>
            <w:tcW w:type="dxa" w:w="224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1.91 – 2.00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0.09</w:t>
            </w:r>
          </w:p>
        </w:tc>
      </w:tr>
      <w:tr>
        <w:trPr>
          <w:tblHeader w:val="false"/>
        </w:trPr>
        <w:tc>
          <w:tcPr>
            <w:tcW w:type="dxa" w:w="177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ZIF-8</w:t>
            </w:r>
          </w:p>
        </w:tc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Zn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288</w:t>
            </w:r>
          </w:p>
        </w:tc>
        <w:tc>
          <w:tcPr>
            <w:tcW w:type="dxa" w:w="159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87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1.98 – 1.99</w:t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0.01</w:t>
            </w:r>
          </w:p>
        </w:tc>
      </w:tr>
      <w:tr>
        <w:trPr>
          <w:tblHeader w:val="false"/>
        </w:trPr>
        <w:tc>
          <w:tcPr>
            <w:tcW w:type="dxa" w:w="177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UiO-66</w:t>
            </w:r>
          </w:p>
        </w:tc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Zr</w:t>
            </w:r>
          </w:p>
        </w:tc>
        <w:tc>
          <w:tcPr>
            <w:tcW w:type="dxa" w:w="121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189</w:t>
            </w:r>
          </w:p>
        </w:tc>
        <w:tc>
          <w:tcPr>
            <w:tcW w:type="dxa" w:w="159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57</w:t>
            </w:r>
          </w:p>
        </w:tc>
        <w:tc>
          <w:tcPr>
            <w:tcW w:type="dxa" w:w="2246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2.29 – 2.65</w:t>
            </w:r>
          </w:p>
        </w:tc>
        <w:tc>
          <w:tcPr>
            <w:tcW w:type="dxa" w:w="149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0.36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Zr structure separates cleanly from the three Cu/Zn structures on both methods. Its α range does not overlap theirs at all, and its node fractal dimension is the highest by a clear margin — which is what you would expect from a 12-connected cluster, since more connections per node means mass grows faster with radius.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6 · The defect that made the spectrum undefined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single most consequential correction in this part of the work. The iNMFA computation was being run on the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induced subgraph of the influential blocks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take the high-degree blocks, keep only the edges between them, compute the spectrum on that.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 a MOF, the high-degree blocks are the metal clusters. And metal clusters are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never bonded to each other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they connect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through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linkers. So that induced subgraph has no edges at all.</w:t>
      </w:r>
    </w:p>
    <w:p>
      <w:pPr>
        <w:shd w:fill="F2F4F8" w:val="clear"/>
        <w:spacing w:after="0" w:before="6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Edges inside the influential-node induced subgraph: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 HKUST-1        0 edges     &lt;-- the spectrum was being computed on THIS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 MOF5           4 edges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 ZIF-8          0 edges     &lt;-- and THIS</w:t>
      </w:r>
    </w:p>
    <w:p>
      <w:pPr>
        <w:shd w:fill="F2F4F8" w:val="clear"/>
        <w:spacing w:after="0" w:before="0" w:line="250"/>
        <w:ind w:left="172"/>
      </w:pPr>
      <w:r>
        <w:rPr>
          <w:rFonts w:ascii="Consolas" w:cs="Consolas" w:eastAsia="Consolas" w:hAnsi="Consolas"/>
          <w:color w:val="20303F"/>
          <w:sz w:val="17"/>
          <w:szCs w:val="17"/>
        </w:rPr>
        <w:t xml:space="preserve">  UiO-66         4 edges</w:t>
      </w:r>
    </w:p>
    <w:p>
      <w:pPr>
        <w:spacing w:after="150" w:before="50"/>
      </w:pPr>
      <w:r>
        <w:rPr>
          <w:rFonts w:ascii="Calibri" w:cs="Calibri" w:eastAsia="Calibri" w:hAnsi="Calibri"/>
          <w:i/>
          <w:iCs/>
          <w:color w:val="5A5A6E"/>
          <w:sz w:val="16"/>
          <w:szCs w:val="16"/>
        </w:rPr>
        <w:t xml:space="preserve">Measured, and reproduced in the notebook. With no edges there are no distances, so no mass function, so no spectrum.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correction: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compute the growth curves on the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full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block graph, and use the influential set only to select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which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curves enter the analysis. The influential blocks are still the subject; they are simply measured in the network they actually live in. With that change the spectrum is defined for all four structures.</w:t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7 · The family band — what was and was not established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final part of the brief was to deduce something like "all Zr MOFs fall in this band". A band is the min–max envelope of a set of reference spectra; a candidate is scored by how much of its own spectrum falls inside.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mechanism works, and can be demonstrated on a genuine same-topology family — UiO-66 plus a set of missing-linker defect variants: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5242"/>
        <w:gridCol w:w="4118"/>
      </w:tblGrid>
      <w:tr>
        <w:trPr>
          <w:tblHeader/>
        </w:trPr>
        <w:tc>
          <w:tcPr>
            <w:tcW w:type="dxa" w:w="5242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4118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Fraction of its spectrum inside the band</w:t>
            </w:r>
          </w:p>
        </w:tc>
      </w:tr>
      <w:tr>
        <w:trPr>
          <w:tblHeader w:val="false"/>
        </w:trPr>
        <w:tc>
          <w:tcPr>
            <w:tcW w:type="dxa" w:w="524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Held-out member of the same family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53.3%</w:t>
            </w:r>
          </w:p>
        </w:tc>
      </w:tr>
      <w:tr>
        <w:trPr>
          <w:tblHeader w:val="false"/>
        </w:trPr>
        <w:tc>
          <w:tcPr>
            <w:tcW w:type="dxa" w:w="5242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Second held-out same-family member</w:t>
            </w:r>
          </w:p>
        </w:tc>
        <w:tc>
          <w:tcPr>
            <w:tcW w:type="dxa" w:w="411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87.3%</w:t>
            </w:r>
          </w:p>
        </w:tc>
      </w:tr>
      <w:tr>
        <w:trPr>
          <w:tblHeader w:val="false"/>
        </w:trPr>
        <w:tc>
          <w:tcPr>
            <w:tcW w:type="dxa" w:w="524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HKUST-1 (different framework)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outside the band entirely</w:t>
            </w:r>
          </w:p>
        </w:tc>
      </w:tr>
      <w:tr>
        <w:trPr>
          <w:tblHeader w:val="false"/>
        </w:trPr>
        <w:tc>
          <w:tcPr>
            <w:tcW w:type="dxa" w:w="5242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MOF-5 (different framework)</w:t>
            </w:r>
          </w:p>
        </w:tc>
        <w:tc>
          <w:tcPr>
            <w:tcW w:type="dxa" w:w="4118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outside the band entirely</w:t>
            </w:r>
          </w:p>
        </w:tc>
      </w:tr>
      <w:tr>
        <w:trPr>
          <w:tblHeader w:val="false"/>
        </w:trPr>
        <w:tc>
          <w:tcPr>
            <w:tcW w:type="dxa" w:w="5242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ZIF-8 (different framework)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outside the band entirely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Members of the family land inside; unrelated frameworks land outside. The method separates what it should separate.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The claim that is NOT established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"All zirconium MOFs fall under this spectrum"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has not been demonstrated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, and the reason is simple: there is exactly one zirconium structure in this test set.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One structure cannot define a family band. What has been shown is that the machinery works, that it separates a real family from non-members, and that Zr separates from Cu and Zn on the measures used.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Establishing the actual claim needs a few hundred MOFs grouped by metal — CoRE MOF or QMOF. Every module runs per-CIF, so scaling up is a loop over the same functions, not new research. Saying this plainly is stronger than overclaiming from n = 1.</w:t>
      </w:r>
    </w:p>
    <w:sectPr>
      <w:footerReference w:type="default" r:id="rId7"/>
      <w:pgSz w:w="11906" w:h="16838" w:orient="portrait"/>
      <w:pgMar w:top="1200" w:right="1260" w:bottom="11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and Spectrum</dc:title>
  <dc:creator>Final Year Project</dc:creator>
  <cp:lastModifiedBy>Un-named</cp:lastModifiedBy>
  <cp:revision>1</cp:revision>
  <dcterms:created xsi:type="dcterms:W3CDTF">2026-08-31T06:46:42.229Z</dcterms:created>
  <dcterms:modified xsi:type="dcterms:W3CDTF">2026-08-31T06:46:42.229Z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