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The averaging-order bug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eight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above uses our block quotient graph on four structures. It was extended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eight experimentally reported frameworks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downloaded at run time from the RASPA2 structure library, and analysed on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 atomic graphs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3,400–6,100 atoms rather than coarse-grained block graphs. The eight were chosen because they all appear in the xenon/krypton separation literature.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246"/>
        <w:gridCol w:w="936"/>
        <w:gridCol w:w="1030"/>
        <w:gridCol w:w="1217"/>
        <w:gridCol w:w="1966"/>
        <w:gridCol w:w="1965"/>
      </w:tblGrid>
      <w:tr>
        <w:trPr>
          <w:tblHeader/>
        </w:trPr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Framework</w:t>
            </w:r>
          </w:p>
        </w:tc>
        <w:tc>
          <w:tcPr>
            <w:tcW w:type="dxa" w:w="93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Atoms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Diameter</w:t>
            </w:r>
          </w:p>
        </w:tc>
        <w:tc>
          <w:tcPr>
            <w:tcW w:type="dxa" w:w="196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Δα</w:t>
            </w:r>
          </w:p>
        </w:tc>
        <w:tc>
          <w:tcPr>
            <w:tcW w:type="dxa" w:w="196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0.941 ± 0.054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4968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0.897 ± 0.077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50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0.844 ± 0.063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0.835 ± 0.057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IRMOF-1 (MOF-5)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3392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0.375 ± 0.064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UMCM-1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6120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63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0.203 ± 0.028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Two different things get called "the band"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word "band" is used loosely for two distinct constructions, and testing both revealed that only one of them works as a membership test. Reporting both — including the one that fails — is the honest presentation.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872"/>
        <w:gridCol w:w="3557"/>
        <w:gridCol w:w="3931"/>
      </w:tblGrid>
      <w:tr>
        <w:trPr>
          <w:tblHeader/>
        </w:trPr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Does it discriminate?</w:t>
            </w:r>
          </w:p>
        </w:tc>
      </w:tr>
      <w:tr>
        <w:trPr>
          <w:tblHeader w:val="false"/>
        </w:trPr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Δα band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(1-D)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range of spectrum </w:t>
            </w:r>
            <w:r>
              <w:rPr>
                <w:rFonts w:ascii="Calibri" w:cs="Calibri" w:eastAsia="Calibri" w:hAnsi="Calibri"/>
                <w:i/>
                <w:iCs/>
                <w:color w:val="1A1A2E"/>
                <w:sz w:val="19"/>
                <w:szCs w:val="19"/>
              </w:rPr>
              <w:t xml:space="preserve">widths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spanned by the group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 and re-tested, all 8 frameworks are classified correctly</w:t>
            </w:r>
          </w:p>
        </w:tc>
      </w:tr>
      <w:tr>
        <w:trPr>
          <w:tblHeader w:val="false"/>
        </w:trPr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f(α) envelope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(2-D)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Shade between the highest and lowest curve; score what fraction of a candidate lies inside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out, ZIF-8 (member) scores 0.0%; UMCM-1 (non-member) scores 44.7%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failure is stark rather than marginal — a non-member scores more than forty points higher than a member. The reason is visible once the curves are plotted: the two narrow spectra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short arcs sitting inside the wide group's α range but far below it in 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An envelope test therefore measures where a curve sits in α, not how wide it is — and width is the quantity that actually separates these frameworks.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 measured negative result, not a hidden one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curve trivially lies inside a band it helped define, so the only meaningful test is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hold a framework out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rebuild the band from the rest, and score it against that. Doing so is what exposed the failure.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website (Section 15b) has a "hold out" button on every row so anyone can reproduce this in front of you. The 1-D Δα column beside it classifies all eight correctly.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What the Δα band does establish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Six of the eight frameworks land in a band spanning Δα = 0.835–0.941, and two fall far below it at 0.375 and 0.203. The gap between the two groups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0.46 — roughly four times the 0.105 noise floor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measured on provably identical structures. That margin is what makes the split a property of the frameworks rather than of the estimator.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six span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five different metals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(Cu, Ni, Co, Mg, Zn) and two different binding chemistries — carboxylate for HKUST-1 and MOF-74, imidazolate for ZIF-8. So the grouping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metal and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chemistry.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it actually measures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is the width of the singularity spectrum, and it measures how unevenly connectivity is distributed through the network — in physical terms,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how heterogeneous the pore architecture 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 wide Δα means the framework has a structurally varied pore network; a narrow one means it is uniform.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reading is consistent with the two outliers. IRMOF-1 and UMCM-1 both have large, regular, open pore systems, and they are the two narrow spectra. UMCM-1 is a genuine mixed-linker framework, which the coarse-graining independently confirms by finding two distinct linker sizes in it.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Three things this result is NOT — each of which an examiner may probe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The four MOF-74 curves overlapping is not evidence of anything.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They are the same graph — proved isomorphic in the source notebook — so they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must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overlap. Their role is as a reproducibility control, not as band members.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control sets a noise floor of 0.105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measured as the spread across those isomorphic graphs. HKUST-1 (0.844) and ZIF-8 (0.897) differ by less than that floor, so the correct statement is "six frameworks are indistinguishable within the method's noise", not "six frameworks match".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not a stability or gas-uptake predictor.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in this analysis measures stability, adsorption or binding energy — the graph is unweighted, so it does not even know which element an atom is. Xe/Kr relevance is why these eight frameworks were selected; it is not something the calculation produces. Reading the band as "these MOFs are more stable" is not supported.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8.4 · Finite-size dependence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has not converged in supercell size — it grows with the graph, because the fit window spans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ln(1/diameter)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ln(0.34)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a larger graph samples a wider range of scales. These are therefore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finite-size effective widths at a stated graph size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not asymptotic exponents, and absolute values should always be quoted with the diameter alongside.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ranking survives this caveat, and for a specific reason worth stating: the bias runs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wrong way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explain the result. IRMOF-1 and UMCM-1 have among the largest graphs in the set (diameters 56 and 63) yet the smallest widths, while the wide group sits at diameters 36–50. A finite-size artefact would push the biggest graphs toward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larger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Δα, not smaller — so it cannot be what produces the split.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2026-08-31T18:11:06.704Z</dcterms:created>
  <dcterms:modified xsi:type="dcterms:W3CDTF">2026-08-31T18:11:06.704Z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