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6B" w:rsidRDefault="003B77EE">
      <w:pPr>
        <w:spacing w:after="182"/>
      </w:pPr>
      <w:r>
        <w:rPr>
          <w:rFonts w:ascii="Tahoma" w:eastAsia="Tahoma" w:hAnsi="Tahoma" w:cs="Tahoma"/>
          <w:b/>
          <w:sz w:val="20"/>
        </w:rPr>
        <w:t xml:space="preserve">Project Lessons Learned Report </w:t>
      </w:r>
    </w:p>
    <w:tbl>
      <w:tblPr>
        <w:tblStyle w:val="TableGrid"/>
        <w:tblW w:w="9353" w:type="dxa"/>
        <w:tblInd w:w="6" w:type="dxa"/>
        <w:tblCellMar>
          <w:top w:w="47" w:type="dxa"/>
          <w:left w:w="94" w:type="dxa"/>
          <w:right w:w="68" w:type="dxa"/>
        </w:tblCellMar>
        <w:tblLook w:val="04A0" w:firstRow="1" w:lastRow="0" w:firstColumn="1" w:lastColumn="0" w:noHBand="0" w:noVBand="1"/>
      </w:tblPr>
      <w:tblGrid>
        <w:gridCol w:w="385"/>
        <w:gridCol w:w="2728"/>
        <w:gridCol w:w="1059"/>
        <w:gridCol w:w="5181"/>
      </w:tblGrid>
      <w:tr w:rsidR="0063376B">
        <w:trPr>
          <w:trHeight w:val="226"/>
        </w:trPr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Project Name: </w:t>
            </w:r>
          </w:p>
        </w:tc>
        <w:tc>
          <w:tcPr>
            <w:tcW w:w="6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5"/>
            </w:pPr>
            <w:r>
              <w:rPr>
                <w:rFonts w:ascii="Tahoma" w:eastAsia="Tahoma" w:hAnsi="Tahoma" w:cs="Tahoma"/>
                <w:sz w:val="18"/>
              </w:rPr>
              <w:t>Sample12</w:t>
            </w:r>
            <w:r w:rsidR="00092863">
              <w:rPr>
                <w:rFonts w:ascii="Tahoma" w:eastAsia="Tahoma" w:hAnsi="Tahoma" w:cs="Tahoma"/>
                <w:sz w:val="18"/>
              </w:rPr>
              <w:t xml:space="preserve"> Project</w:t>
            </w:r>
          </w:p>
        </w:tc>
      </w:tr>
      <w:tr w:rsidR="0063376B">
        <w:trPr>
          <w:trHeight w:val="228"/>
        </w:trPr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Prepared By: </w:t>
            </w:r>
          </w:p>
        </w:tc>
        <w:tc>
          <w:tcPr>
            <w:tcW w:w="6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5"/>
            </w:pPr>
            <w:r>
              <w:rPr>
                <w:rFonts w:ascii="Tahoma" w:eastAsia="Tahoma" w:hAnsi="Tahoma" w:cs="Tahoma"/>
                <w:sz w:val="18"/>
              </w:rPr>
              <w:t>Mohammad S</w:t>
            </w:r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</w:tr>
      <w:tr w:rsidR="0063376B">
        <w:trPr>
          <w:trHeight w:val="228"/>
        </w:trPr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Date </w:t>
            </w:r>
          </w:p>
        </w:tc>
        <w:tc>
          <w:tcPr>
            <w:tcW w:w="6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5"/>
            </w:pPr>
            <w:r>
              <w:rPr>
                <w:rFonts w:ascii="Tahoma" w:eastAsia="Tahoma" w:hAnsi="Tahoma" w:cs="Tahoma"/>
                <w:sz w:val="18"/>
              </w:rPr>
              <w:t>9/23/2019</w:t>
            </w:r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</w:tr>
      <w:tr w:rsidR="0063376B">
        <w:trPr>
          <w:trHeight w:val="248"/>
        </w:trPr>
        <w:tc>
          <w:tcPr>
            <w:tcW w:w="9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33"/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Project Close-Out Discussions </w:t>
            </w:r>
          </w:p>
        </w:tc>
      </w:tr>
      <w:tr w:rsidR="0063376B">
        <w:trPr>
          <w:trHeight w:val="253"/>
        </w:trPr>
        <w:tc>
          <w:tcPr>
            <w:tcW w:w="9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63376B"/>
        </w:tc>
      </w:tr>
      <w:tr w:rsidR="0063376B">
        <w:trPr>
          <w:trHeight w:val="1459"/>
        </w:trPr>
        <w:tc>
          <w:tcPr>
            <w:tcW w:w="41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A1234E">
            <w:pPr>
              <w:ind w:left="12"/>
            </w:pPr>
            <w:r>
              <w:rPr>
                <w:rFonts w:ascii="Tahoma" w:eastAsia="Tahoma" w:hAnsi="Tahoma" w:cs="Tahoma"/>
                <w:b/>
                <w:sz w:val="18"/>
              </w:rPr>
              <w:t>Project Team</w:t>
            </w:r>
            <w:bookmarkStart w:id="0" w:name="_GoBack"/>
            <w:bookmarkEnd w:id="0"/>
            <w:r w:rsidR="003B77EE">
              <w:rPr>
                <w:rFonts w:ascii="Tahoma" w:eastAsia="Tahoma" w:hAnsi="Tahoma" w:cs="Tahoma"/>
                <w:b/>
                <w:sz w:val="18"/>
              </w:rPr>
              <w:t>:</w:t>
            </w:r>
            <w:r w:rsidR="003B77EE"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20"/>
              </w:rPr>
              <w:t>Rich B</w:t>
            </w:r>
          </w:p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20"/>
              </w:rPr>
              <w:t>Philip C</w:t>
            </w:r>
          </w:p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20"/>
              </w:rPr>
              <w:t>Elizabeth J</w:t>
            </w:r>
          </w:p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20"/>
              </w:rPr>
              <w:t>Matilda S</w:t>
            </w:r>
          </w:p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20"/>
              </w:rPr>
              <w:t>Mary T</w:t>
            </w:r>
          </w:p>
          <w:p w:rsidR="0063376B" w:rsidRDefault="00832297">
            <w:pPr>
              <w:ind w:left="14"/>
            </w:pPr>
            <w:r>
              <w:rPr>
                <w:rFonts w:ascii="Tahoma" w:eastAsia="Tahoma" w:hAnsi="Tahoma" w:cs="Tahoma"/>
                <w:sz w:val="20"/>
              </w:rPr>
              <w:t>Frances</w:t>
            </w:r>
            <w:r w:rsidR="003B77EE">
              <w:rPr>
                <w:rFonts w:ascii="Tahoma" w:eastAsia="Tahoma" w:hAnsi="Tahoma" w:cs="Tahoma"/>
                <w:sz w:val="20"/>
              </w:rPr>
              <w:t xml:space="preserve"> D</w:t>
            </w:r>
          </w:p>
        </w:tc>
      </w:tr>
      <w:tr w:rsidR="0063376B">
        <w:trPr>
          <w:trHeight w:val="878"/>
        </w:trPr>
        <w:tc>
          <w:tcPr>
            <w:tcW w:w="41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Project Background: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3"/>
            </w:pPr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 xml:space="preserve">LinkedIn Learning acquired Lynda.com. UNTS is required to transition student and faculty users from Lynda.com to LinkedIn Learning for all institutions (UNT, HSC, Dallas, 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CoL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, and System) before Lynda.com is no longer available.   </w:t>
            </w:r>
          </w:p>
        </w:tc>
      </w:tr>
      <w:tr w:rsidR="0063376B">
        <w:trPr>
          <w:trHeight w:val="228"/>
        </w:trPr>
        <w:tc>
          <w:tcPr>
            <w:tcW w:w="9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b/>
                <w:sz w:val="18"/>
              </w:rPr>
              <w:t>I. Project’s biggest successes:</w:t>
            </w:r>
          </w:p>
        </w:tc>
      </w:tr>
      <w:tr w:rsidR="0063376B">
        <w:trPr>
          <w:trHeight w:val="226"/>
        </w:trPr>
        <w:tc>
          <w:tcPr>
            <w:tcW w:w="41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Pr="00A03CCA" w:rsidRDefault="003B77EE">
            <w:pPr>
              <w:rPr>
                <w:b/>
                <w:i/>
              </w:rPr>
            </w:pPr>
            <w:r w:rsidRPr="00A03CCA">
              <w:rPr>
                <w:rFonts w:ascii="Tahoma" w:eastAsia="Tahoma" w:hAnsi="Tahoma" w:cs="Tahoma"/>
                <w:b/>
                <w:i/>
                <w:sz w:val="19"/>
              </w:rPr>
              <w:t xml:space="preserve">Description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Pr="00A03CCA" w:rsidRDefault="003B77EE">
            <w:pPr>
              <w:ind w:left="1"/>
              <w:rPr>
                <w:b/>
                <w:i/>
              </w:rPr>
            </w:pPr>
            <w:r w:rsidRPr="00A03CCA">
              <w:rPr>
                <w:rFonts w:ascii="Tahoma" w:eastAsia="Tahoma" w:hAnsi="Tahoma" w:cs="Tahoma"/>
                <w:b/>
                <w:i/>
                <w:sz w:val="19"/>
              </w:rPr>
              <w:t xml:space="preserve">Factors that promoted this success </w:t>
            </w:r>
          </w:p>
        </w:tc>
      </w:tr>
      <w:tr w:rsidR="0063376B">
        <w:trPr>
          <w:trHeight w:val="228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1. 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Project went live on time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Team work </w:t>
            </w:r>
          </w:p>
        </w:tc>
      </w:tr>
      <w:tr w:rsidR="0063376B">
        <w:trPr>
          <w:trHeight w:val="662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2. 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Project team were able to identify additional integration (Canvas &amp; Bridge) during development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Team work with forward thinking </w:t>
            </w:r>
          </w:p>
        </w:tc>
      </w:tr>
      <w:tr w:rsidR="0063376B">
        <w:trPr>
          <w:trHeight w:val="1097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3. 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spacing w:line="238" w:lineRule="auto"/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Communication plan &amp; tactics were  executed in a timely manner to notify the end users ahead of go-live  </w:t>
            </w:r>
          </w:p>
          <w:p w:rsidR="0063376B" w:rsidRDefault="003B77EE">
            <w:pPr>
              <w:ind w:left="14"/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ITSS &amp; Campus Help Landing page was also a big win 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Team work with forward thinking </w:t>
            </w:r>
          </w:p>
        </w:tc>
      </w:tr>
      <w:tr w:rsidR="0063376B">
        <w:trPr>
          <w:trHeight w:val="660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4. 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Identified all the Lynda.com 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Urls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 &amp; references and owners to make changes before Go-Live 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Team work with forward thinking </w:t>
            </w:r>
          </w:p>
        </w:tc>
      </w:tr>
      <w:tr w:rsidR="0063376B">
        <w:trPr>
          <w:trHeight w:val="662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5. 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Three way call between UNTS, Bridge, and LinkedIn technical consultants helped to address technical/configuration questions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Team work with forward thinking </w:t>
            </w:r>
          </w:p>
        </w:tc>
      </w:tr>
      <w:tr w:rsidR="0063376B">
        <w:trPr>
          <w:trHeight w:val="662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6. 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Weekly team meetings helped move the project along and resolved issues/roadblock in a timely manner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Using the project management communication plan </w:t>
            </w:r>
          </w:p>
        </w:tc>
      </w:tr>
    </w:tbl>
    <w:p w:rsidR="0063376B" w:rsidRDefault="003B77EE">
      <w:pPr>
        <w:spacing w:after="3"/>
        <w:ind w:left="10" w:right="-15" w:hanging="10"/>
        <w:jc w:val="right"/>
      </w:pPr>
      <w:r>
        <w:t xml:space="preserve">Page 1 </w:t>
      </w:r>
    </w:p>
    <w:p w:rsidR="0063376B" w:rsidRDefault="003B77EE">
      <w:pPr>
        <w:spacing w:after="125"/>
      </w:pPr>
      <w:r>
        <w:t xml:space="preserve"> </w:t>
      </w:r>
    </w:p>
    <w:tbl>
      <w:tblPr>
        <w:tblStyle w:val="TableGrid"/>
        <w:tblW w:w="9355" w:type="dxa"/>
        <w:tblInd w:w="5" w:type="dxa"/>
        <w:tblCellMar>
          <w:top w:w="47" w:type="dxa"/>
          <w:left w:w="96" w:type="dxa"/>
          <w:right w:w="13" w:type="dxa"/>
        </w:tblCellMar>
        <w:tblLook w:val="04A0" w:firstRow="1" w:lastRow="0" w:firstColumn="1" w:lastColumn="0" w:noHBand="0" w:noVBand="1"/>
      </w:tblPr>
      <w:tblGrid>
        <w:gridCol w:w="386"/>
        <w:gridCol w:w="2489"/>
        <w:gridCol w:w="3238"/>
        <w:gridCol w:w="3242"/>
      </w:tblGrid>
      <w:tr w:rsidR="0063376B">
        <w:trPr>
          <w:trHeight w:val="226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II. Areas of potential improvement along with high-impact improvement strategies: </w:t>
            </w:r>
          </w:p>
        </w:tc>
      </w:tr>
      <w:tr w:rsidR="0063376B">
        <w:trPr>
          <w:trHeight w:val="252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Pr="00A03CCA" w:rsidRDefault="003B77EE">
            <w:pPr>
              <w:rPr>
                <w:b/>
                <w:i/>
              </w:rPr>
            </w:pPr>
            <w:r w:rsidRPr="00A03CCA">
              <w:rPr>
                <w:rFonts w:ascii="Tahoma" w:eastAsia="Tahoma" w:hAnsi="Tahoma" w:cs="Tahoma"/>
                <w:b/>
                <w:i/>
                <w:sz w:val="19"/>
              </w:rPr>
              <w:t xml:space="preserve">Category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Pr="00A03CCA" w:rsidRDefault="003B77EE">
            <w:pPr>
              <w:rPr>
                <w:b/>
                <w:i/>
              </w:rPr>
            </w:pPr>
            <w:r w:rsidRPr="00A03CCA">
              <w:rPr>
                <w:rFonts w:ascii="Tahoma" w:eastAsia="Tahoma" w:hAnsi="Tahoma" w:cs="Tahoma"/>
                <w:b/>
                <w:i/>
                <w:sz w:val="19"/>
              </w:rPr>
              <w:t xml:space="preserve">Project Shortcomings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Pr="00A03CCA" w:rsidRDefault="003B77EE">
            <w:pPr>
              <w:rPr>
                <w:b/>
                <w:i/>
              </w:rPr>
            </w:pPr>
            <w:r w:rsidRPr="00A03CCA">
              <w:rPr>
                <w:rFonts w:ascii="Tahoma" w:eastAsia="Tahoma" w:hAnsi="Tahoma" w:cs="Tahoma"/>
                <w:b/>
                <w:i/>
                <w:sz w:val="19"/>
              </w:rPr>
              <w:t xml:space="preserve">Lessons learned </w:t>
            </w:r>
          </w:p>
        </w:tc>
      </w:tr>
      <w:tr w:rsidR="0063376B">
        <w:trPr>
          <w:trHeight w:val="1097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1.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Scope &amp; Requirements 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spacing w:after="3" w:line="237" w:lineRule="auto"/>
              <w:ind w:left="12"/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Detail and clear requirements document were not created </w:t>
            </w:r>
          </w:p>
          <w:p w:rsidR="0063376B" w:rsidRDefault="003B77EE">
            <w:pPr>
              <w:ind w:left="372" w:right="31" w:hanging="360"/>
            </w:pPr>
            <w:r>
              <w:rPr>
                <w:rFonts w:ascii="Tahoma" w:eastAsia="Tahoma" w:hAnsi="Tahoma" w:cs="Tahoma"/>
                <w:sz w:val="18"/>
              </w:rPr>
              <w:t>1)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 xml:space="preserve">Redirect links requirements were not clear to UNTS  “org parameter =unt.edu” 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Create requirements document and get signoff from UNTS and vendor before starting development work </w:t>
            </w:r>
          </w:p>
        </w:tc>
      </w:tr>
      <w:tr w:rsidR="0063376B">
        <w:trPr>
          <w:trHeight w:val="660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2. 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LinkedIn CSM &amp; Technical resource availability 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LinkedIn CSM &amp; Technical resource was not available for weekly team meeting 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 w:right="6"/>
            </w:pPr>
            <w:r>
              <w:rPr>
                <w:rFonts w:ascii="Tahoma" w:eastAsia="Tahoma" w:hAnsi="Tahoma" w:cs="Tahoma"/>
                <w:sz w:val="18"/>
              </w:rPr>
              <w:t xml:space="preserve">Ensure vendor resource availability and commitment for weekly status meeting before project kickoff </w:t>
            </w:r>
          </w:p>
        </w:tc>
      </w:tr>
      <w:tr w:rsidR="0063376B">
        <w:trPr>
          <w:trHeight w:val="153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3.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LinkedIn Technical Team </w:t>
            </w:r>
          </w:p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Communication challenges 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spacing w:line="238" w:lineRule="auto"/>
              <w:ind w:left="12" w:right="38"/>
            </w:pPr>
            <w:r>
              <w:rPr>
                <w:rFonts w:ascii="Tahoma" w:eastAsia="Tahoma" w:hAnsi="Tahoma" w:cs="Tahoma"/>
                <w:sz w:val="18"/>
              </w:rPr>
              <w:t xml:space="preserve">LinkedIn technical team missed technical/configuration work or did not communicate UNTS team about after go-live user experience  </w:t>
            </w:r>
          </w:p>
          <w:p w:rsidR="0063376B" w:rsidRDefault="003B77EE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Just in time provisioning </w:t>
            </w:r>
          </w:p>
          <w:p w:rsidR="0063376B" w:rsidRDefault="003B77EE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ahoma" w:eastAsia="Tahoma" w:hAnsi="Tahoma" w:cs="Tahoma"/>
                <w:sz w:val="18"/>
              </w:rPr>
              <w:t xml:space="preserve">Language Filter from Bridge to LinkedIn integration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spacing w:line="238" w:lineRule="auto"/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Improve on communication (demanding for more transparency and details) to get adequate information. </w:t>
            </w:r>
          </w:p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</w:tr>
      <w:tr w:rsidR="0063376B">
        <w:trPr>
          <w:trHeight w:val="1966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lastRenderedPageBreak/>
              <w:t xml:space="preserve">4.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Project Go-Live Date 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spacing w:line="245" w:lineRule="auto"/>
              <w:ind w:left="12" w:right="6"/>
            </w:pPr>
            <w:r>
              <w:rPr>
                <w:rFonts w:ascii="Tahoma" w:eastAsia="Tahoma" w:hAnsi="Tahoma" w:cs="Tahoma"/>
                <w:sz w:val="18"/>
              </w:rPr>
              <w:t>August 19</w:t>
            </w:r>
            <w:r>
              <w:rPr>
                <w:rFonts w:ascii="Tahoma" w:eastAsia="Tahoma" w:hAnsi="Tahoma" w:cs="Tahoma"/>
                <w:sz w:val="18"/>
                <w:vertAlign w:val="superscript"/>
              </w:rPr>
              <w:t>th</w:t>
            </w:r>
            <w:r>
              <w:rPr>
                <w:rFonts w:ascii="Tahoma" w:eastAsia="Tahoma" w:hAnsi="Tahoma" w:cs="Tahoma"/>
                <w:sz w:val="18"/>
              </w:rPr>
              <w:t xml:space="preserve"> Go-live date was not optimal because it was right before the start of fall semester.  </w:t>
            </w:r>
          </w:p>
          <w:p w:rsidR="0063376B" w:rsidRDefault="003B77EE">
            <w:pPr>
              <w:ind w:left="12" w:right="148"/>
            </w:pPr>
            <w:r>
              <w:rPr>
                <w:rFonts w:ascii="Tahoma" w:eastAsia="Tahoma" w:hAnsi="Tahoma" w:cs="Tahoma"/>
                <w:sz w:val="18"/>
              </w:rPr>
              <w:t xml:space="preserve">Enough details were not available from LinkedIn on the effort at the beginning of the project.   Project team picked a window between instruction semesters for least impacts to faculty and students.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 w:right="71"/>
            </w:pPr>
            <w:r>
              <w:rPr>
                <w:rFonts w:ascii="Tahoma" w:eastAsia="Tahoma" w:hAnsi="Tahoma" w:cs="Tahoma"/>
                <w:sz w:val="18"/>
              </w:rPr>
              <w:t xml:space="preserve">Get detail requirements and effort   from vendor and review academic calendar before setting project go-live date that impacts faculty and students   </w:t>
            </w:r>
          </w:p>
        </w:tc>
      </w:tr>
      <w:tr w:rsidR="0063376B">
        <w:trPr>
          <w:trHeight w:val="153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5.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Project Strategy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spacing w:after="2" w:line="237" w:lineRule="auto"/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ITSS PM was not engaged from the beginning of the project.  </w:t>
            </w:r>
          </w:p>
          <w:p w:rsidR="0063376B" w:rsidRDefault="003B77EE">
            <w:pPr>
              <w:spacing w:line="239" w:lineRule="auto"/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PM did not have adequate project planning time. </w:t>
            </w:r>
          </w:p>
          <w:p w:rsidR="0063376B" w:rsidRDefault="003B77EE">
            <w:pPr>
              <w:ind w:left="12" w:right="73"/>
            </w:pPr>
            <w:r>
              <w:rPr>
                <w:rFonts w:ascii="Tahoma" w:eastAsia="Tahoma" w:hAnsi="Tahoma" w:cs="Tahoma"/>
                <w:sz w:val="18"/>
              </w:rPr>
              <w:t xml:space="preserve">Campus Communication team were not provided adequate advance notice  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6B" w:rsidRDefault="003B77EE">
            <w:pPr>
              <w:spacing w:after="2" w:line="237" w:lineRule="auto"/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Ensure ITSS PM is assigned before project kickoff.  </w:t>
            </w:r>
          </w:p>
          <w:p w:rsidR="0063376B" w:rsidRDefault="003B77EE">
            <w:pPr>
              <w:ind w:left="12" w:right="95"/>
            </w:pPr>
            <w:r>
              <w:rPr>
                <w:rFonts w:ascii="Tahoma" w:eastAsia="Tahoma" w:hAnsi="Tahoma" w:cs="Tahoma"/>
                <w:sz w:val="18"/>
              </w:rPr>
              <w:t xml:space="preserve">Ensure Campus communication teams are engaged during project planning and before start of development work. </w:t>
            </w:r>
          </w:p>
        </w:tc>
      </w:tr>
    </w:tbl>
    <w:p w:rsidR="0063376B" w:rsidRDefault="003B77EE">
      <w:pPr>
        <w:spacing w:after="5947"/>
      </w:pPr>
      <w:r>
        <w:rPr>
          <w:rFonts w:ascii="Tahoma" w:eastAsia="Tahoma" w:hAnsi="Tahoma" w:cs="Tahoma"/>
          <w:sz w:val="20"/>
        </w:rPr>
        <w:t xml:space="preserve"> </w:t>
      </w:r>
    </w:p>
    <w:p w:rsidR="0063376B" w:rsidRDefault="003B77EE">
      <w:pPr>
        <w:spacing w:after="3"/>
        <w:ind w:left="10" w:right="-15" w:hanging="10"/>
        <w:jc w:val="right"/>
      </w:pPr>
      <w:r>
        <w:t xml:space="preserve">Page 2 </w:t>
      </w:r>
    </w:p>
    <w:p w:rsidR="0063376B" w:rsidRDefault="003B77EE">
      <w:pPr>
        <w:spacing w:after="0"/>
      </w:pPr>
      <w:r>
        <w:t xml:space="preserve"> </w:t>
      </w:r>
    </w:p>
    <w:sectPr w:rsidR="0063376B">
      <w:pgSz w:w="12240" w:h="15840"/>
      <w:pgMar w:top="475" w:right="1438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827C3"/>
    <w:multiLevelType w:val="hybridMultilevel"/>
    <w:tmpl w:val="5D26D360"/>
    <w:lvl w:ilvl="0" w:tplc="8BBC4674">
      <w:start w:val="1"/>
      <w:numFmt w:val="decimal"/>
      <w:lvlText w:val="%1)"/>
      <w:lvlJc w:val="left"/>
      <w:pPr>
        <w:ind w:left="3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AEFD1E">
      <w:start w:val="1"/>
      <w:numFmt w:val="lowerLetter"/>
      <w:lvlText w:val="%2"/>
      <w:lvlJc w:val="left"/>
      <w:pPr>
        <w:ind w:left="11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90B190">
      <w:start w:val="1"/>
      <w:numFmt w:val="lowerRoman"/>
      <w:lvlText w:val="%3"/>
      <w:lvlJc w:val="left"/>
      <w:pPr>
        <w:ind w:left="19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B8B574">
      <w:start w:val="1"/>
      <w:numFmt w:val="decimal"/>
      <w:lvlText w:val="%4"/>
      <w:lvlJc w:val="left"/>
      <w:pPr>
        <w:ind w:left="26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C089810">
      <w:start w:val="1"/>
      <w:numFmt w:val="lowerLetter"/>
      <w:lvlText w:val="%5"/>
      <w:lvlJc w:val="left"/>
      <w:pPr>
        <w:ind w:left="33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E146FE0">
      <w:start w:val="1"/>
      <w:numFmt w:val="lowerRoman"/>
      <w:lvlText w:val="%6"/>
      <w:lvlJc w:val="left"/>
      <w:pPr>
        <w:ind w:left="40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1229208">
      <w:start w:val="1"/>
      <w:numFmt w:val="decimal"/>
      <w:lvlText w:val="%7"/>
      <w:lvlJc w:val="left"/>
      <w:pPr>
        <w:ind w:left="47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F0481C">
      <w:start w:val="1"/>
      <w:numFmt w:val="lowerLetter"/>
      <w:lvlText w:val="%8"/>
      <w:lvlJc w:val="left"/>
      <w:pPr>
        <w:ind w:left="55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625698">
      <w:start w:val="1"/>
      <w:numFmt w:val="lowerRoman"/>
      <w:lvlText w:val="%9"/>
      <w:lvlJc w:val="left"/>
      <w:pPr>
        <w:ind w:left="62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NrE0MzM1MjG2NDRQ0lEKTi0uzszPAykwrQUAnjmoISwAAAA="/>
  </w:docVars>
  <w:rsids>
    <w:rsidRoot w:val="0063376B"/>
    <w:rsid w:val="00092863"/>
    <w:rsid w:val="00304185"/>
    <w:rsid w:val="003B77EE"/>
    <w:rsid w:val="0063376B"/>
    <w:rsid w:val="00832297"/>
    <w:rsid w:val="00A03CCA"/>
    <w:rsid w:val="00A1234E"/>
    <w:rsid w:val="00C5466B"/>
    <w:rsid w:val="00EB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E068"/>
  <w15:docId w15:val="{69905AAF-8F9E-4C50-AE53-5CBA63EB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Lessons Learned Template</dc:title>
  <dc:subject/>
  <dc:creator>abn0001</dc:creator>
  <cp:keywords>Closing</cp:keywords>
  <cp:lastModifiedBy>Atolagbe-Olaoye, Abidemi</cp:lastModifiedBy>
  <cp:revision>10</cp:revision>
  <dcterms:created xsi:type="dcterms:W3CDTF">2020-04-08T15:56:00Z</dcterms:created>
  <dcterms:modified xsi:type="dcterms:W3CDTF">2020-04-08T16:21:00Z</dcterms:modified>
</cp:coreProperties>
</file>